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 w:type="dxa"/>
          <w:right w:w="28" w:type="dxa"/>
        </w:tblCellMar>
        <w:tblLook w:val="04A0" w:firstRow="1" w:lastRow="0" w:firstColumn="1" w:lastColumn="0" w:noHBand="0" w:noVBand="1"/>
      </w:tblPr>
      <w:tblGrid>
        <w:gridCol w:w="6702"/>
        <w:gridCol w:w="2218"/>
      </w:tblGrid>
      <w:tr w:rsidR="00D50B7F">
        <w:trPr>
          <w:trHeight w:hRule="exact" w:val="483"/>
        </w:trPr>
        <w:tc>
          <w:tcPr>
            <w:tcW w:w="8920" w:type="dxa"/>
            <w:gridSpan w:val="2"/>
            <w:vAlign w:val="center"/>
          </w:tcPr>
          <w:p w:rsidR="00D50B7F" w:rsidRDefault="00D520D2">
            <w:pPr>
              <w:adjustRightInd w:val="0"/>
              <w:snapToGrid w:val="0"/>
              <w:spacing w:before="100" w:beforeAutospacing="1" w:after="100" w:afterAutospacing="1"/>
              <w:ind w:rightChars="157" w:right="502"/>
              <w:textAlignment w:val="bottom"/>
              <w:rPr>
                <w:rFonts w:ascii="黑体" w:eastAsia="黑体" w:hAnsi="黑体"/>
                <w:szCs w:val="36"/>
              </w:rPr>
            </w:pPr>
            <w:bookmarkStart w:id="0" w:name="PO_fhj"/>
            <w:r>
              <w:rPr>
                <w:rFonts w:ascii="黑体" w:eastAsia="黑体" w:hAnsi="黑体" w:hint="eastAsia"/>
                <w:szCs w:val="36"/>
              </w:rPr>
              <w:t xml:space="preserve"> </w:t>
            </w:r>
            <w:bookmarkEnd w:id="0"/>
          </w:p>
          <w:p w:rsidR="00D50B7F" w:rsidRDefault="00D50B7F">
            <w:pPr>
              <w:adjustRightInd w:val="0"/>
              <w:snapToGrid w:val="0"/>
              <w:spacing w:before="100" w:beforeAutospacing="1" w:after="100" w:afterAutospacing="1"/>
              <w:ind w:rightChars="157" w:right="502"/>
              <w:textAlignment w:val="bottom"/>
              <w:rPr>
                <w:rFonts w:ascii="黑体" w:eastAsia="黑体" w:hAnsi="黑体"/>
                <w:szCs w:val="36"/>
              </w:rPr>
            </w:pPr>
          </w:p>
        </w:tc>
      </w:tr>
      <w:tr w:rsidR="00D50B7F">
        <w:trPr>
          <w:trHeight w:hRule="exact" w:val="1632"/>
        </w:trPr>
        <w:tc>
          <w:tcPr>
            <w:tcW w:w="8920" w:type="dxa"/>
            <w:gridSpan w:val="2"/>
            <w:vAlign w:val="center"/>
          </w:tcPr>
          <w:p w:rsidR="00D50B7F" w:rsidRDefault="00D50B7F">
            <w:pPr>
              <w:adjustRightInd w:val="0"/>
              <w:snapToGrid w:val="0"/>
              <w:spacing w:before="100" w:beforeAutospacing="1" w:after="100" w:afterAutospacing="1"/>
              <w:ind w:rightChars="157" w:right="502"/>
              <w:textAlignment w:val="bottom"/>
              <w:rPr>
                <w:rFonts w:eastAsia="黑体"/>
              </w:rPr>
            </w:pPr>
          </w:p>
        </w:tc>
      </w:tr>
      <w:tr w:rsidR="00D50B7F">
        <w:trPr>
          <w:trHeight w:val="1560"/>
        </w:trPr>
        <w:tc>
          <w:tcPr>
            <w:tcW w:w="6702" w:type="dxa"/>
            <w:vAlign w:val="center"/>
          </w:tcPr>
          <w:p w:rsidR="00D50B7F" w:rsidRDefault="00D520D2">
            <w:pPr>
              <w:adjustRightInd w:val="0"/>
              <w:snapToGrid w:val="0"/>
              <w:spacing w:before="100" w:beforeAutospacing="1" w:after="100" w:afterAutospacing="1" w:line="1180" w:lineRule="exact"/>
              <w:jc w:val="distribute"/>
              <w:textAlignment w:val="bottom"/>
              <w:rPr>
                <w:rFonts w:ascii="方正小标宋简体" w:eastAsia="方正小标宋简体"/>
                <w:b/>
                <w:bCs/>
                <w:color w:val="FF0000"/>
                <w:w w:val="50"/>
                <w:sz w:val="84"/>
                <w:szCs w:val="84"/>
              </w:rPr>
            </w:pPr>
            <w:bookmarkStart w:id="1" w:name="PO_fhead1"/>
            <w:r>
              <w:rPr>
                <w:rFonts w:ascii="方正小标宋简体" w:eastAsia="方正小标宋简体" w:hint="eastAsia"/>
                <w:b/>
                <w:bCs/>
                <w:color w:val="FF0000"/>
                <w:w w:val="50"/>
                <w:sz w:val="84"/>
                <w:szCs w:val="84"/>
              </w:rPr>
              <w:t>福建省财政厅</w:t>
            </w:r>
          </w:p>
          <w:p w:rsidR="00D50B7F" w:rsidRDefault="00D520D2">
            <w:pPr>
              <w:adjustRightInd w:val="0"/>
              <w:snapToGrid w:val="0"/>
              <w:spacing w:before="100" w:beforeAutospacing="1" w:after="100" w:afterAutospacing="1" w:line="1180" w:lineRule="exact"/>
              <w:jc w:val="distribute"/>
              <w:textAlignment w:val="bottom"/>
              <w:rPr>
                <w:rFonts w:ascii="方正小标宋简体" w:eastAsia="方正小标宋简体"/>
                <w:b/>
                <w:bCs/>
                <w:color w:val="FF0000"/>
                <w:w w:val="50"/>
                <w:sz w:val="84"/>
                <w:szCs w:val="84"/>
              </w:rPr>
            </w:pPr>
            <w:r>
              <w:rPr>
                <w:rFonts w:ascii="方正小标宋简体" w:eastAsia="方正小标宋简体" w:hint="eastAsia"/>
                <w:b/>
                <w:bCs/>
                <w:color w:val="FF0000"/>
                <w:w w:val="50"/>
                <w:sz w:val="84"/>
                <w:szCs w:val="84"/>
              </w:rPr>
              <w:t>福建省哲学社会科学规划领导小组</w:t>
            </w:r>
            <w:bookmarkEnd w:id="1"/>
          </w:p>
        </w:tc>
        <w:tc>
          <w:tcPr>
            <w:tcW w:w="2218" w:type="dxa"/>
            <w:vAlign w:val="center"/>
          </w:tcPr>
          <w:p w:rsidR="00D50B7F" w:rsidRDefault="00D520D2">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2" w:name="PO_fhead2"/>
            <w:r>
              <w:rPr>
                <w:rFonts w:ascii="方正小标宋简体" w:eastAsia="方正小标宋简体" w:cs="宋体" w:hint="eastAsia"/>
                <w:b/>
                <w:bCs/>
                <w:color w:val="FF0000"/>
                <w:spacing w:val="52"/>
                <w:sz w:val="84"/>
                <w:szCs w:val="84"/>
              </w:rPr>
              <w:t>文件</w:t>
            </w:r>
            <w:bookmarkEnd w:id="2"/>
          </w:p>
        </w:tc>
      </w:tr>
      <w:tr w:rsidR="00D50B7F">
        <w:trPr>
          <w:trHeight w:hRule="exact" w:val="931"/>
        </w:trPr>
        <w:tc>
          <w:tcPr>
            <w:tcW w:w="8920" w:type="dxa"/>
            <w:gridSpan w:val="2"/>
            <w:vAlign w:val="bottom"/>
          </w:tcPr>
          <w:p w:rsidR="00D50B7F" w:rsidRDefault="00D520D2">
            <w:pPr>
              <w:adjustRightInd w:val="0"/>
              <w:snapToGrid w:val="0"/>
              <w:spacing w:before="120" w:line="318" w:lineRule="atLeast"/>
              <w:ind w:right="339" w:firstLineChars="80" w:firstLine="256"/>
              <w:jc w:val="center"/>
              <w:textAlignment w:val="bottom"/>
              <w:rPr>
                <w:rFonts w:ascii="仿宋" w:eastAsia="仿宋" w:hAnsi="仿宋"/>
              </w:rPr>
            </w:pPr>
            <w:bookmarkStart w:id="3" w:name="PO_fwh"/>
            <w:r>
              <w:rPr>
                <w:rFonts w:ascii="仿宋" w:eastAsia="仿宋" w:hAnsi="仿宋" w:hint="eastAsia"/>
                <w:szCs w:val="36"/>
              </w:rPr>
              <w:t>闽财政</w:t>
            </w:r>
            <w:proofErr w:type="gramStart"/>
            <w:r>
              <w:rPr>
                <w:rFonts w:ascii="仿宋" w:eastAsia="仿宋" w:hAnsi="仿宋" w:hint="eastAsia"/>
                <w:szCs w:val="36"/>
              </w:rPr>
              <w:t>研</w:t>
            </w:r>
            <w:proofErr w:type="gramEnd"/>
            <w:r>
              <w:rPr>
                <w:rFonts w:ascii="仿宋" w:eastAsia="仿宋" w:hAnsi="仿宋" w:hint="eastAsia"/>
                <w:szCs w:val="36"/>
              </w:rPr>
              <w:t xml:space="preserve">〔2021〕6号 </w:t>
            </w:r>
            <w:bookmarkEnd w:id="3"/>
          </w:p>
        </w:tc>
      </w:tr>
      <w:tr w:rsidR="00D50B7F">
        <w:trPr>
          <w:trHeight w:hRule="exact" w:val="92"/>
        </w:trPr>
        <w:tc>
          <w:tcPr>
            <w:tcW w:w="8920" w:type="dxa"/>
            <w:gridSpan w:val="2"/>
          </w:tcPr>
          <w:p w:rsidR="00D50B7F" w:rsidRDefault="00F944F6">
            <w:pPr>
              <w:adjustRightInd w:val="0"/>
              <w:snapToGrid w:val="0"/>
              <w:spacing w:line="240" w:lineRule="exact"/>
              <w:jc w:val="center"/>
              <w:rPr>
                <w:rFonts w:ascii="仿宋" w:hAnsi="仿宋" w:cs="宋体"/>
                <w:sz w:val="10"/>
                <w:szCs w:val="10"/>
              </w:rPr>
            </w:pPr>
            <w:bookmarkStart w:id="4" w:name="PO_fline"/>
            <w:r>
              <w:rPr>
                <w:rFonts w:ascii="仿宋" w:hAnsi="仿宋" w:cs="宋体"/>
                <w:sz w:val="10"/>
                <w:szCs w:val="10"/>
              </w:rPr>
              <w:pict>
                <v:line id="_x0000_s1026" style="position:absolute;left:0;text-align:left;z-index:-251658240;mso-wrap-distance-left:9pt;mso-wrap-distance-right:9pt;mso-position-horizontal:center;mso-position-horizontal-relative:text;mso-position-vertical-relative:text;mso-width-relative:page;mso-height-relative:page" from="0,5.65pt" to="441.05pt,5.65pt" wrapcoords="0 0 21600 0 0 0" strokecolor="red" strokeweight="3pt">
                  <w10:wrap type="tight"/>
                </v:line>
              </w:pict>
            </w:r>
            <w:bookmarkEnd w:id="4"/>
          </w:p>
        </w:tc>
      </w:tr>
    </w:tbl>
    <w:p w:rsidR="00D50B7F" w:rsidRDefault="00D50B7F">
      <w:pPr>
        <w:rPr>
          <w:rFonts w:ascii="仿宋" w:eastAsia="仿宋" w:hAnsi="仿宋"/>
          <w:szCs w:val="36"/>
        </w:rPr>
      </w:pPr>
    </w:p>
    <w:p w:rsidR="00D50B7F" w:rsidRDefault="00D50B7F">
      <w:pPr>
        <w:rPr>
          <w:rFonts w:ascii="仿宋" w:eastAsia="仿宋" w:hAnsi="仿宋"/>
        </w:rPr>
      </w:pPr>
    </w:p>
    <w:p w:rsidR="00D50B7F" w:rsidRDefault="00D520D2">
      <w:pPr>
        <w:snapToGrid w:val="0"/>
        <w:jc w:val="center"/>
        <w:rPr>
          <w:rFonts w:ascii="方正小标宋简体" w:eastAsia="方正小标宋简体" w:hAnsi="仿宋"/>
          <w:sz w:val="44"/>
          <w:szCs w:val="44"/>
        </w:rPr>
      </w:pPr>
      <w:bookmarkStart w:id="5" w:name="PO_fbt"/>
      <w:r>
        <w:rPr>
          <w:rFonts w:ascii="方正小标宋简体" w:eastAsia="方正小标宋简体" w:hAnsi="仿宋" w:hint="eastAsia"/>
          <w:spacing w:val="-17"/>
          <w:sz w:val="44"/>
          <w:szCs w:val="44"/>
        </w:rPr>
        <w:t xml:space="preserve">福建省财政厅 福建省哲学社会科学规划领导小组 </w:t>
      </w:r>
      <w:r>
        <w:rPr>
          <w:rFonts w:ascii="方正小标宋简体" w:eastAsia="方正小标宋简体" w:hAnsi="仿宋" w:hint="eastAsia"/>
          <w:sz w:val="44"/>
          <w:szCs w:val="44"/>
        </w:rPr>
        <w:t>关于印发</w:t>
      </w:r>
      <w:proofErr w:type="gramStart"/>
      <w:r>
        <w:rPr>
          <w:rFonts w:ascii="方正小标宋简体" w:eastAsia="方正小标宋简体" w:hAnsi="仿宋" w:hint="eastAsia"/>
          <w:sz w:val="44"/>
          <w:szCs w:val="44"/>
        </w:rPr>
        <w:t>《</w:t>
      </w:r>
      <w:proofErr w:type="gramEnd"/>
      <w:r>
        <w:rPr>
          <w:rFonts w:ascii="方正小标宋简体" w:eastAsia="方正小标宋简体" w:hAnsi="仿宋" w:hint="eastAsia"/>
          <w:sz w:val="44"/>
          <w:szCs w:val="44"/>
        </w:rPr>
        <w:t>福建省社会科学基金</w:t>
      </w:r>
    </w:p>
    <w:p w:rsidR="00D50B7F" w:rsidRDefault="00D520D2">
      <w:pPr>
        <w:snapToGrid w:val="0"/>
        <w:jc w:val="center"/>
        <w:rPr>
          <w:rFonts w:ascii="宋体" w:eastAsia="方正小标宋简体" w:hAnsi="宋体" w:cs="宋体"/>
          <w:sz w:val="44"/>
          <w:szCs w:val="44"/>
        </w:rPr>
      </w:pPr>
      <w:r>
        <w:rPr>
          <w:rFonts w:ascii="方正小标宋简体" w:eastAsia="方正小标宋简体" w:hAnsi="仿宋" w:hint="eastAsia"/>
          <w:sz w:val="44"/>
          <w:szCs w:val="44"/>
        </w:rPr>
        <w:t>项目经费管理办法</w:t>
      </w:r>
      <w:proofErr w:type="gramStart"/>
      <w:r>
        <w:rPr>
          <w:rFonts w:ascii="方正小标宋简体" w:eastAsia="方正小标宋简体" w:hAnsi="仿宋" w:hint="eastAsia"/>
          <w:sz w:val="44"/>
          <w:szCs w:val="44"/>
        </w:rPr>
        <w:t>》</w:t>
      </w:r>
      <w:proofErr w:type="gramEnd"/>
      <w:r>
        <w:rPr>
          <w:rFonts w:ascii="方正小标宋简体" w:eastAsia="方正小标宋简体" w:hAnsi="仿宋" w:hint="eastAsia"/>
          <w:sz w:val="44"/>
          <w:szCs w:val="44"/>
        </w:rPr>
        <w:t>的通知</w:t>
      </w:r>
      <w:bookmarkEnd w:id="5"/>
    </w:p>
    <w:p w:rsidR="00D50B7F" w:rsidRDefault="00D50B7F">
      <w:pPr>
        <w:rPr>
          <w:rFonts w:ascii="仿宋" w:eastAsia="仿宋" w:hAnsi="仿宋"/>
          <w:szCs w:val="36"/>
        </w:rPr>
      </w:pPr>
    </w:p>
    <w:p w:rsidR="00D50B7F" w:rsidRDefault="00D520D2">
      <w:pPr>
        <w:jc w:val="left"/>
      </w:pPr>
      <w:bookmarkStart w:id="6" w:name="PO_fzs"/>
      <w:r>
        <w:rPr>
          <w:rFonts w:ascii="仿宋" w:eastAsia="仿宋" w:hAnsi="仿宋" w:hint="eastAsia"/>
          <w:szCs w:val="36"/>
        </w:rPr>
        <w:t>省直有关单位，各设区市财政局、平潭综合实验区财政金融局，各高校、党校、社科研究机构，省哲学社会科学规划领导小组办公室</w:t>
      </w:r>
      <w:bookmarkEnd w:id="6"/>
      <w:r>
        <w:rPr>
          <w:rFonts w:ascii="仿宋" w:eastAsia="仿宋" w:hAnsi="仿宋" w:hint="eastAsia"/>
          <w:szCs w:val="36"/>
        </w:rPr>
        <w:t>：</w:t>
      </w:r>
    </w:p>
    <w:p w:rsidR="00D50B7F" w:rsidRDefault="00D520D2">
      <w:pPr>
        <w:ind w:firstLineChars="200" w:firstLine="640"/>
        <w:rPr>
          <w:rFonts w:ascii="仿宋" w:eastAsia="仿宋" w:hAnsi="仿宋"/>
        </w:rPr>
      </w:pPr>
      <w:bookmarkStart w:id="7" w:name="PO_zw"/>
      <w:bookmarkEnd w:id="7"/>
      <w:r>
        <w:rPr>
          <w:rFonts w:ascii="仿宋" w:eastAsia="仿宋" w:hAnsi="仿宋" w:cs="Times New Roman" w:hint="eastAsia"/>
        </w:rPr>
        <w:t>为了规范福建省社会科学基金项目经费的使用和管理，提高经费使用效益，更好推动福建省哲学社会科学繁荣发展，省财政</w:t>
      </w:r>
      <w:r>
        <w:rPr>
          <w:rFonts w:ascii="仿宋" w:eastAsia="仿宋" w:hAnsi="仿宋" w:cs="Times New Roman" w:hint="eastAsia"/>
        </w:rPr>
        <w:lastRenderedPageBreak/>
        <w:t>厅、省哲学社会科学规划领导小组联合修订了《福建省社会科学基金项目经费管理办法》。现印发给你们，请遵照执行。</w:t>
      </w:r>
    </w:p>
    <w:p w:rsidR="00D50B7F" w:rsidRDefault="00D50B7F">
      <w:pPr>
        <w:rPr>
          <w:rFonts w:ascii="仿宋" w:eastAsia="仿宋" w:hAnsi="仿宋"/>
          <w:color w:val="000000"/>
        </w:rPr>
      </w:pPr>
    </w:p>
    <w:tbl>
      <w:tblPr>
        <w:tblW w:w="5000" w:type="pct"/>
        <w:tblLook w:val="04A0" w:firstRow="1" w:lastRow="0" w:firstColumn="1" w:lastColumn="0" w:noHBand="0" w:noVBand="1"/>
      </w:tblPr>
      <w:tblGrid>
        <w:gridCol w:w="3923"/>
        <w:gridCol w:w="5138"/>
      </w:tblGrid>
      <w:tr w:rsidR="00D50B7F">
        <w:trPr>
          <w:trHeight w:val="624"/>
        </w:trPr>
        <w:tc>
          <w:tcPr>
            <w:tcW w:w="2165" w:type="pct"/>
            <w:vAlign w:val="center"/>
          </w:tcPr>
          <w:p w:rsidR="00D50B7F" w:rsidRDefault="00D50B7F">
            <w:pPr>
              <w:spacing w:line="560" w:lineRule="exact"/>
              <w:jc w:val="center"/>
              <w:rPr>
                <w:rFonts w:ascii="仿宋" w:eastAsia="仿宋" w:hAnsi="仿宋"/>
                <w:color w:val="000000"/>
              </w:rPr>
            </w:pPr>
            <w:bookmarkStart w:id="8" w:name="PO_fyz"/>
            <w:bookmarkStart w:id="9" w:name="PO_ffj"/>
            <w:bookmarkEnd w:id="8"/>
            <w:bookmarkEnd w:id="9"/>
          </w:p>
          <w:p w:rsidR="00D50B7F" w:rsidRDefault="00D50B7F">
            <w:pPr>
              <w:spacing w:line="560" w:lineRule="exact"/>
              <w:jc w:val="center"/>
              <w:rPr>
                <w:rFonts w:ascii="仿宋" w:eastAsia="仿宋" w:hAnsi="仿宋"/>
                <w:color w:val="000000"/>
              </w:rPr>
            </w:pPr>
          </w:p>
          <w:p w:rsidR="00D50B7F" w:rsidRDefault="00D520D2">
            <w:pPr>
              <w:spacing w:line="560" w:lineRule="exact"/>
              <w:jc w:val="center"/>
              <w:rPr>
                <w:rFonts w:ascii="仿宋" w:eastAsia="仿宋" w:hAnsi="仿宋"/>
                <w:color w:val="000000"/>
              </w:rPr>
            </w:pPr>
            <w:bookmarkStart w:id="10" w:name="PO_fsm1"/>
            <w:r>
              <w:rPr>
                <w:rFonts w:ascii="仿宋" w:eastAsia="仿宋" w:hAnsi="仿宋" w:hint="eastAsia"/>
                <w:color w:val="000000"/>
              </w:rPr>
              <w:t>福建省财政厅</w:t>
            </w:r>
            <w:bookmarkEnd w:id="10"/>
          </w:p>
        </w:tc>
        <w:tc>
          <w:tcPr>
            <w:tcW w:w="2834" w:type="pct"/>
            <w:vAlign w:val="center"/>
          </w:tcPr>
          <w:p w:rsidR="00D50B7F" w:rsidRDefault="00D50B7F">
            <w:pPr>
              <w:spacing w:line="560" w:lineRule="exact"/>
              <w:jc w:val="center"/>
              <w:rPr>
                <w:rFonts w:ascii="仿宋" w:eastAsia="仿宋" w:hAnsi="仿宋"/>
                <w:color w:val="000000"/>
              </w:rPr>
            </w:pPr>
          </w:p>
          <w:p w:rsidR="00D50B7F" w:rsidRDefault="00D50B7F">
            <w:pPr>
              <w:spacing w:line="560" w:lineRule="exact"/>
              <w:jc w:val="center"/>
              <w:rPr>
                <w:rFonts w:ascii="仿宋" w:eastAsia="仿宋" w:hAnsi="仿宋"/>
                <w:color w:val="000000"/>
              </w:rPr>
            </w:pPr>
          </w:p>
          <w:p w:rsidR="00D50B7F" w:rsidRDefault="00D520D2">
            <w:pPr>
              <w:spacing w:line="560" w:lineRule="exact"/>
              <w:jc w:val="center"/>
              <w:rPr>
                <w:rFonts w:ascii="仿宋" w:eastAsia="仿宋" w:hAnsi="仿宋"/>
                <w:color w:val="000000"/>
              </w:rPr>
            </w:pPr>
            <w:bookmarkStart w:id="11" w:name="PO_fsm2"/>
            <w:r>
              <w:rPr>
                <w:rFonts w:ascii="仿宋" w:eastAsia="仿宋" w:hAnsi="仿宋" w:hint="eastAsia"/>
                <w:color w:val="000000"/>
              </w:rPr>
              <w:t>福建省哲学社会科学规划领导小组</w:t>
            </w:r>
            <w:bookmarkEnd w:id="11"/>
          </w:p>
        </w:tc>
      </w:tr>
      <w:tr w:rsidR="00D50B7F">
        <w:trPr>
          <w:trHeight w:val="308"/>
        </w:trPr>
        <w:tc>
          <w:tcPr>
            <w:tcW w:w="5000" w:type="pct"/>
            <w:gridSpan w:val="2"/>
            <w:vAlign w:val="bottom"/>
          </w:tcPr>
          <w:p w:rsidR="00D50B7F" w:rsidRDefault="00D520D2">
            <w:pPr>
              <w:wordWrap w:val="0"/>
              <w:spacing w:line="560" w:lineRule="exact"/>
              <w:jc w:val="right"/>
              <w:rPr>
                <w:rFonts w:ascii="仿宋" w:eastAsia="仿宋" w:hAnsi="仿宋"/>
                <w:color w:val="000000"/>
              </w:rPr>
            </w:pPr>
            <w:bookmarkStart w:id="12" w:name="PO_fqfrq"/>
            <w:r>
              <w:rPr>
                <w:rFonts w:ascii="仿宋" w:eastAsia="仿宋" w:hAnsi="仿宋" w:hint="eastAsia"/>
                <w:color w:val="000000"/>
              </w:rPr>
              <w:t>2021年12月17日</w:t>
            </w:r>
            <w:bookmarkEnd w:id="12"/>
            <w:r>
              <w:rPr>
                <w:rFonts w:ascii="仿宋" w:eastAsia="仿宋" w:hAnsi="仿宋" w:hint="eastAsia"/>
                <w:color w:val="000000"/>
              </w:rPr>
              <w:t xml:space="preserve">       </w:t>
            </w:r>
          </w:p>
        </w:tc>
      </w:tr>
    </w:tbl>
    <w:p w:rsidR="00D50B7F" w:rsidRDefault="00D520D2">
      <w:pPr>
        <w:rPr>
          <w:rFonts w:ascii="仿宋" w:eastAsia="仿宋" w:hAnsi="仿宋"/>
          <w:color w:val="000000"/>
        </w:rPr>
      </w:pPr>
      <w:r>
        <w:rPr>
          <w:rFonts w:ascii="仿宋" w:eastAsia="仿宋" w:hAnsi="仿宋" w:hint="eastAsia"/>
          <w:color w:val="000000"/>
        </w:rPr>
        <w:t xml:space="preserve">　　</w:t>
      </w:r>
      <w:bookmarkStart w:id="13" w:name="PO_ffz"/>
      <w:r>
        <w:rPr>
          <w:rFonts w:ascii="仿宋" w:eastAsia="仿宋" w:hAnsi="仿宋" w:hint="eastAsia"/>
          <w:color w:val="000000"/>
        </w:rPr>
        <w:t xml:space="preserve"> </w:t>
      </w:r>
      <w:bookmarkEnd w:id="13"/>
    </w:p>
    <w:p w:rsidR="00D50B7F" w:rsidRDefault="00D50B7F">
      <w:pPr>
        <w:rPr>
          <w:rFonts w:ascii="仿宋" w:eastAsia="仿宋" w:hAnsi="仿宋"/>
          <w:szCs w:val="36"/>
        </w:rPr>
      </w:pPr>
    </w:p>
    <w:p w:rsidR="00D50B7F" w:rsidRDefault="00D520D2">
      <w:pPr>
        <w:rPr>
          <w:rFonts w:ascii="仿宋" w:eastAsia="仿宋" w:hAnsi="仿宋"/>
        </w:rPr>
      </w:pPr>
      <w:r>
        <w:rPr>
          <w:rFonts w:ascii="仿宋" w:eastAsia="仿宋" w:hAnsi="仿宋" w:hint="eastAsia"/>
        </w:rPr>
        <w:br w:type="page"/>
      </w:r>
    </w:p>
    <w:p w:rsidR="00D50B7F" w:rsidRDefault="00D520D2">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福建省社会科学基金项目经费管理办法</w:t>
      </w:r>
    </w:p>
    <w:p w:rsidR="00D50B7F" w:rsidRDefault="00D50B7F">
      <w:pPr>
        <w:adjustRightInd w:val="0"/>
        <w:snapToGrid w:val="0"/>
        <w:spacing w:line="600" w:lineRule="exact"/>
        <w:rPr>
          <w:rFonts w:ascii="仿宋" w:eastAsia="仿宋" w:hAnsi="仿宋" w:cs="Times New Roman"/>
        </w:rPr>
      </w:pPr>
    </w:p>
    <w:p w:rsidR="00D50B7F" w:rsidRDefault="00D520D2" w:rsidP="002D3B80">
      <w:pPr>
        <w:adjustRightInd w:val="0"/>
        <w:snapToGrid w:val="0"/>
        <w:spacing w:afterLines="50" w:after="156" w:line="600" w:lineRule="exact"/>
        <w:jc w:val="center"/>
        <w:rPr>
          <w:rFonts w:ascii="黑体" w:eastAsia="黑体" w:hAnsi="黑体" w:cs="黑体"/>
        </w:rPr>
      </w:pPr>
      <w:r>
        <w:rPr>
          <w:rFonts w:ascii="黑体" w:eastAsia="黑体" w:hAnsi="黑体" w:cs="黑体" w:hint="eastAsia"/>
        </w:rPr>
        <w:t>第一章  总 则</w:t>
      </w:r>
    </w:p>
    <w:p w:rsidR="00D50B7F" w:rsidRDefault="00D50B7F" w:rsidP="002D3B80">
      <w:pPr>
        <w:adjustRightInd w:val="0"/>
        <w:snapToGrid w:val="0"/>
        <w:spacing w:line="600" w:lineRule="exact"/>
        <w:ind w:firstLineChars="200" w:firstLine="643"/>
        <w:rPr>
          <w:rFonts w:ascii="仿宋" w:eastAsia="仿宋" w:hAnsi="仿宋" w:cs="Times New Roman"/>
          <w:b/>
          <w:bCs/>
        </w:rPr>
      </w:pP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第一条</w:t>
      </w:r>
      <w:r>
        <w:rPr>
          <w:rFonts w:ascii="仿宋" w:eastAsia="仿宋" w:hAnsi="仿宋" w:cs="Times New Roman" w:hint="eastAsia"/>
        </w:rPr>
        <w:t xml:space="preserve">  为了规范福建省社会科学基金项目经费（以下简称省社科项目经费）的使用和管理，提高经费使用效益，更好推动福建省哲学社会科学繁荣发展，根据财务管理有关规定和《国务院办公厅关于改革完善中央财政科研经费管理的若干意见》(国办发〔2021〕32号)精神,参照《国家社会科学基金项目资金管理办法》（</w:t>
      </w:r>
      <w:proofErr w:type="gramStart"/>
      <w:r>
        <w:rPr>
          <w:rFonts w:ascii="仿宋" w:eastAsia="仿宋" w:hAnsi="仿宋" w:cs="Times New Roman" w:hint="eastAsia"/>
        </w:rPr>
        <w:t>财教〔2021〕</w:t>
      </w:r>
      <w:proofErr w:type="gramEnd"/>
      <w:r>
        <w:rPr>
          <w:rFonts w:ascii="仿宋" w:eastAsia="仿宋" w:hAnsi="仿宋" w:cs="Times New Roman" w:hint="eastAsia"/>
        </w:rPr>
        <w:t>237号），制定本办法。</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第二条</w:t>
      </w:r>
      <w:r>
        <w:rPr>
          <w:rFonts w:ascii="仿宋" w:eastAsia="仿宋" w:hAnsi="仿宋" w:cs="Times New Roman" w:hint="eastAsia"/>
        </w:rPr>
        <w:t xml:space="preserve">  省社科项目经费来源于省财政拨款，是用于资助福建省哲学社会科学研究，促进哲学社会科学学科发展、人才培养和队伍建设的专项经费。</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第三条</w:t>
      </w:r>
      <w:r>
        <w:rPr>
          <w:rFonts w:ascii="仿宋" w:eastAsia="仿宋" w:hAnsi="仿宋" w:cs="Times New Roman" w:hint="eastAsia"/>
        </w:rPr>
        <w:t xml:space="preserve">  省社科项目经费管理，应当以出优秀成果、出优秀人才为目标，坚持以人为本、遵循规律、依法规范、公正合理和安全高效的原则，突出理论创新和实际贡献，在简政放权的同时，注重规范管理、改进服务，为科研人员潜心研究创造良好条件和宽松环境，充分激发科研人员的积极性和创造性。</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第四条</w:t>
      </w:r>
      <w:r>
        <w:rPr>
          <w:rFonts w:ascii="仿宋" w:eastAsia="仿宋" w:hAnsi="仿宋" w:cs="Times New Roman" w:hint="eastAsia"/>
        </w:rPr>
        <w:t xml:space="preserve">  项目责任单位是项目经费管理的责任主体，负责项目经费的日常管理和监督。</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第五条</w:t>
      </w:r>
      <w:r>
        <w:rPr>
          <w:rFonts w:ascii="仿宋" w:eastAsia="仿宋" w:hAnsi="仿宋" w:cs="Times New Roman" w:hint="eastAsia"/>
        </w:rPr>
        <w:t xml:space="preserve">  项目负责人是项目经费使用的直接责任人，对经费</w:t>
      </w:r>
      <w:r>
        <w:rPr>
          <w:rFonts w:ascii="仿宋" w:eastAsia="仿宋" w:hAnsi="仿宋" w:cs="Times New Roman" w:hint="eastAsia"/>
        </w:rPr>
        <w:lastRenderedPageBreak/>
        <w:t>使用的合</w:t>
      </w:r>
      <w:proofErr w:type="gramStart"/>
      <w:r>
        <w:rPr>
          <w:rFonts w:ascii="仿宋" w:eastAsia="仿宋" w:hAnsi="仿宋" w:cs="Times New Roman" w:hint="eastAsia"/>
        </w:rPr>
        <w:t>规</w:t>
      </w:r>
      <w:proofErr w:type="gramEnd"/>
      <w:r>
        <w:rPr>
          <w:rFonts w:ascii="仿宋" w:eastAsia="仿宋" w:hAnsi="仿宋" w:cs="Times New Roman" w:hint="eastAsia"/>
        </w:rPr>
        <w:t>性、合理性、真实性和相关性承担相应责任。</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第六条</w:t>
      </w:r>
      <w:r>
        <w:rPr>
          <w:rFonts w:ascii="仿宋" w:eastAsia="仿宋" w:hAnsi="仿宋" w:cs="Times New Roman" w:hint="eastAsia"/>
        </w:rPr>
        <w:t xml:space="preserve">  项目经费应当纳入项目承担单位财务统一管理，单独核算，专款专用。</w:t>
      </w:r>
    </w:p>
    <w:p w:rsidR="00D50B7F" w:rsidRDefault="00D50B7F">
      <w:pPr>
        <w:adjustRightInd w:val="0"/>
        <w:snapToGrid w:val="0"/>
        <w:spacing w:line="600" w:lineRule="exact"/>
        <w:jc w:val="center"/>
        <w:rPr>
          <w:rFonts w:ascii="仿宋" w:eastAsia="仿宋" w:hAnsi="仿宋" w:cs="Times New Roman"/>
          <w:b/>
          <w:bCs/>
        </w:rPr>
      </w:pPr>
    </w:p>
    <w:p w:rsidR="00D50B7F" w:rsidRDefault="00D520D2">
      <w:pPr>
        <w:adjustRightInd w:val="0"/>
        <w:snapToGrid w:val="0"/>
        <w:spacing w:line="600" w:lineRule="exact"/>
        <w:jc w:val="center"/>
        <w:rPr>
          <w:rFonts w:ascii="黑体" w:eastAsia="黑体" w:hAnsi="黑体" w:cs="黑体"/>
        </w:rPr>
      </w:pPr>
      <w:r>
        <w:rPr>
          <w:rFonts w:ascii="黑体" w:eastAsia="黑体" w:hAnsi="黑体" w:cs="黑体" w:hint="eastAsia"/>
        </w:rPr>
        <w:t>第二章  项目经费开支范围</w:t>
      </w:r>
    </w:p>
    <w:p w:rsidR="00D50B7F" w:rsidRDefault="00D50B7F" w:rsidP="002D3B80">
      <w:pPr>
        <w:adjustRightInd w:val="0"/>
        <w:snapToGrid w:val="0"/>
        <w:spacing w:line="600" w:lineRule="exact"/>
        <w:ind w:firstLineChars="200" w:firstLine="643"/>
        <w:rPr>
          <w:rFonts w:ascii="仿宋" w:eastAsia="仿宋" w:hAnsi="仿宋" w:cs="Times New Roman"/>
          <w:b/>
          <w:bCs/>
        </w:rPr>
      </w:pP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第七条</w:t>
      </w:r>
      <w:r>
        <w:rPr>
          <w:rFonts w:ascii="仿宋" w:eastAsia="仿宋" w:hAnsi="仿宋" w:cs="Times New Roman" w:hint="eastAsia"/>
        </w:rPr>
        <w:t xml:space="preserve">  项目经费支出是指在项目组织实施过程中与研究工作相关的、由项目经费支付的各项费用支出。项目经费支出分为直接费用和间接费用。</w:t>
      </w:r>
    </w:p>
    <w:p w:rsidR="00D50B7F" w:rsidRDefault="00D520D2">
      <w:pPr>
        <w:adjustRightInd w:val="0"/>
        <w:snapToGrid w:val="0"/>
        <w:spacing w:line="600" w:lineRule="exact"/>
        <w:ind w:firstLine="644"/>
        <w:rPr>
          <w:rFonts w:ascii="仿宋" w:eastAsia="仿宋" w:hAnsi="仿宋" w:cs="Times New Roman"/>
        </w:rPr>
      </w:pPr>
      <w:r>
        <w:rPr>
          <w:rFonts w:ascii="仿宋" w:eastAsia="仿宋" w:hAnsi="仿宋" w:cs="Times New Roman" w:hint="eastAsia"/>
          <w:b/>
          <w:bCs/>
        </w:rPr>
        <w:t>第八条</w:t>
      </w:r>
      <w:r>
        <w:rPr>
          <w:rFonts w:ascii="仿宋" w:eastAsia="仿宋" w:hAnsi="仿宋" w:cs="Times New Roman" w:hint="eastAsia"/>
        </w:rPr>
        <w:t xml:space="preserve">  直接费用是指在项目实施过程中发生的与之直接相关的费用，主要包括：</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（一）业务费：指在项目实施过程中购置图书、收集资料、复印翻拍、检索文献、采集数据、翻译资料、印刷出版、会议/差旅/国际合作与交流等费用，以及其他相关支出。</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（二）劳务费：指在项目实施过程中支付给参与项目研究的研究生、博士后、访问学者和项目聘用的研究人员、科研辅助人员等的劳务性费用，以及支付给临时聘请的咨询专家的费用等。</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项目聘用人员的劳务费开支标准，参照当地社科研究从业人员平均工资水平，根据其在项目研究中承担的工作任务确定，其由单位缴纳的社会保险补助、住房公积金等纳入劳务费科目列支。</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支付给临时聘请的咨询专家的费用，不得支付给参与本项目</w:t>
      </w:r>
      <w:r>
        <w:rPr>
          <w:rFonts w:ascii="仿宋" w:eastAsia="仿宋" w:hAnsi="仿宋" w:cs="Times New Roman" w:hint="eastAsia"/>
        </w:rPr>
        <w:lastRenderedPageBreak/>
        <w:t>及所属课题研究和管理的相关人员，其管理按照国家有关规定执行。</w:t>
      </w:r>
    </w:p>
    <w:p w:rsidR="00D50B7F" w:rsidRDefault="00D520D2">
      <w:pPr>
        <w:numPr>
          <w:ilvl w:val="255"/>
          <w:numId w:val="0"/>
        </w:num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（三）设备费：指在项目实施过程中购置设备和设备耗材、升级维护现有设备以及租用外单位设备而发生的费用。应当严格控制设备购置，鼓励共享、租赁设备以及对现有设备进行升级。</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第九条</w:t>
      </w:r>
      <w:r>
        <w:rPr>
          <w:rFonts w:ascii="仿宋" w:eastAsia="仿宋" w:hAnsi="仿宋" w:cs="Times New Roman" w:hint="eastAsia"/>
        </w:rPr>
        <w:t xml:space="preserve">  间接费用是指项目责任单位在组织实施项目过程中发生的无法在直接费用中列支的相关费用。主要包括：项目责任单位为项目研究提供的房屋占用，日常水、电、气、暖等消耗，有关管理费用的补助支出，以及激励科研人员的绩效支出等。</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第十条</w:t>
      </w:r>
      <w:r>
        <w:rPr>
          <w:rFonts w:ascii="仿宋" w:eastAsia="仿宋" w:hAnsi="仿宋" w:cs="Times New Roman" w:hint="eastAsia"/>
        </w:rPr>
        <w:t xml:space="preserve">  间接费用一般按照不超过项目资助总额的一定比例核定。具体比例如下：20万元及以下部分为40%；超过20万元至50万元的部分30%；超过50万元至500万元的部分为20%。</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项目成果通过审核验收后，</w:t>
      </w:r>
      <w:proofErr w:type="gramStart"/>
      <w:r>
        <w:rPr>
          <w:rFonts w:ascii="仿宋" w:eastAsia="仿宋" w:hAnsi="仿宋" w:cs="Times New Roman" w:hint="eastAsia"/>
        </w:rPr>
        <w:t>依据结项等级</w:t>
      </w:r>
      <w:proofErr w:type="gramEnd"/>
      <w:r>
        <w:rPr>
          <w:rFonts w:ascii="仿宋" w:eastAsia="仿宋" w:hAnsi="仿宋" w:cs="Times New Roman" w:hint="eastAsia"/>
        </w:rPr>
        <w:t>调整间接费用比例，具体如下：</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（一）</w:t>
      </w:r>
      <w:proofErr w:type="gramStart"/>
      <w:r>
        <w:rPr>
          <w:rFonts w:ascii="仿宋" w:eastAsia="仿宋" w:hAnsi="仿宋" w:cs="Times New Roman" w:hint="eastAsia"/>
        </w:rPr>
        <w:t>结项等级</w:t>
      </w:r>
      <w:proofErr w:type="gramEnd"/>
      <w:r>
        <w:rPr>
          <w:rFonts w:ascii="仿宋" w:eastAsia="仿宋" w:hAnsi="仿宋" w:cs="Times New Roman" w:hint="eastAsia"/>
        </w:rPr>
        <w:t>为“优秀”的，20万元及以下部分可提高到不超过60%；超过20万元至50万元的部分可提高到不超过50%；超过50万元至500万元的部分可提高到不超过40%。</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（二）</w:t>
      </w:r>
      <w:proofErr w:type="gramStart"/>
      <w:r>
        <w:rPr>
          <w:rFonts w:ascii="仿宋" w:eastAsia="仿宋" w:hAnsi="仿宋" w:cs="Times New Roman" w:hint="eastAsia"/>
        </w:rPr>
        <w:t>结项等级</w:t>
      </w:r>
      <w:proofErr w:type="gramEnd"/>
      <w:r>
        <w:rPr>
          <w:rFonts w:ascii="仿宋" w:eastAsia="仿宋" w:hAnsi="仿宋" w:cs="Times New Roman" w:hint="eastAsia"/>
        </w:rPr>
        <w:t>为“良好”的，20万元及以下部分可提高到不超过50%；超过20万元至50万元的部分可提高到不超过40%；超过50万元至500万元的部分可提高到不超过30%。</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（三）</w:t>
      </w:r>
      <w:proofErr w:type="gramStart"/>
      <w:r>
        <w:rPr>
          <w:rFonts w:ascii="仿宋" w:eastAsia="仿宋" w:hAnsi="仿宋" w:cs="Times New Roman" w:hint="eastAsia"/>
        </w:rPr>
        <w:t>结项等级</w:t>
      </w:r>
      <w:proofErr w:type="gramEnd"/>
      <w:r>
        <w:rPr>
          <w:rFonts w:ascii="仿宋" w:eastAsia="仿宋" w:hAnsi="仿宋" w:cs="Times New Roman" w:hint="eastAsia"/>
        </w:rPr>
        <w:t>为“合格”，或以“免于鉴定”</w:t>
      </w:r>
      <w:proofErr w:type="gramStart"/>
      <w:r>
        <w:rPr>
          <w:rFonts w:ascii="仿宋" w:eastAsia="仿宋" w:hAnsi="仿宋" w:cs="Times New Roman" w:hint="eastAsia"/>
        </w:rPr>
        <w:t>方式结项未</w:t>
      </w:r>
      <w:r>
        <w:rPr>
          <w:rFonts w:ascii="仿宋" w:eastAsia="仿宋" w:hAnsi="仿宋" w:cs="Times New Roman" w:hint="eastAsia"/>
        </w:rPr>
        <w:lastRenderedPageBreak/>
        <w:t>分</w:t>
      </w:r>
      <w:proofErr w:type="gramEnd"/>
      <w:r>
        <w:rPr>
          <w:rFonts w:ascii="仿宋" w:eastAsia="仿宋" w:hAnsi="仿宋" w:cs="Times New Roman" w:hint="eastAsia"/>
        </w:rPr>
        <w:t>等级的，间接费用比例不再提高。</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 xml:space="preserve"> </w:t>
      </w:r>
      <w:r w:rsidRPr="00F51B20">
        <w:rPr>
          <w:rFonts w:ascii="仿宋" w:eastAsia="仿宋" w:hAnsi="仿宋" w:cs="Times New Roman" w:hint="eastAsia"/>
          <w:highlight w:val="yellow"/>
        </w:rPr>
        <w:t>对于科研规模较小的特别委托项目（经费不超过2万元），原则上可采取后补助方式，经验收合格后拨付项目经费，全部作为间接费用使用。</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项目在</w:t>
      </w:r>
      <w:proofErr w:type="gramStart"/>
      <w:r>
        <w:rPr>
          <w:rFonts w:ascii="仿宋" w:eastAsia="仿宋" w:hAnsi="仿宋" w:cs="Times New Roman" w:hint="eastAsia"/>
        </w:rPr>
        <w:t>研</w:t>
      </w:r>
      <w:proofErr w:type="gramEnd"/>
      <w:r>
        <w:rPr>
          <w:rFonts w:ascii="仿宋" w:eastAsia="仿宋" w:hAnsi="仿宋" w:cs="Times New Roman" w:hint="eastAsia"/>
        </w:rPr>
        <w:t>期间，间接费用预算总额不得调增，项目责任单位与项目负责人协商一致后可调减用于直接费用。依据</w:t>
      </w:r>
      <w:proofErr w:type="gramStart"/>
      <w:r>
        <w:rPr>
          <w:rFonts w:ascii="仿宋" w:eastAsia="仿宋" w:hAnsi="仿宋" w:cs="Times New Roman" w:hint="eastAsia"/>
        </w:rPr>
        <w:t>项目结项等级</w:t>
      </w:r>
      <w:proofErr w:type="gramEnd"/>
      <w:r>
        <w:rPr>
          <w:rFonts w:ascii="仿宋" w:eastAsia="仿宋" w:hAnsi="仿宋" w:cs="Times New Roman" w:hint="eastAsia"/>
        </w:rPr>
        <w:t>确定间接费用比例后，间接费用由项目负责人从项目经费中调剂安排。</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第十一条</w:t>
      </w:r>
      <w:r>
        <w:rPr>
          <w:rFonts w:ascii="仿宋" w:eastAsia="仿宋" w:hAnsi="仿宋" w:cs="Times New Roman" w:hint="eastAsia"/>
        </w:rPr>
        <w:t xml:space="preserve">  间接费用由责任单位统筹管理使用，并取消绩效支出比例限制。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D50B7F" w:rsidRDefault="00D520D2">
      <w:pPr>
        <w:numPr>
          <w:ilvl w:val="255"/>
          <w:numId w:val="0"/>
        </w:num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间接费用核定应当与责任单位信用等级挂钩，具体管理规定由责任单位另行制定。</w:t>
      </w:r>
    </w:p>
    <w:p w:rsidR="00D50B7F" w:rsidRDefault="00D520D2">
      <w:pPr>
        <w:numPr>
          <w:ilvl w:val="255"/>
          <w:numId w:val="0"/>
        </w:num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责任单位不得在核定的间接费用以外再以任何名义在项目经费中重复提取、列支相关费用。</w:t>
      </w:r>
    </w:p>
    <w:p w:rsidR="00D50B7F" w:rsidRDefault="00D50B7F">
      <w:pPr>
        <w:adjustRightInd w:val="0"/>
        <w:snapToGrid w:val="0"/>
        <w:spacing w:line="600" w:lineRule="exact"/>
        <w:jc w:val="center"/>
        <w:rPr>
          <w:rFonts w:ascii="黑体" w:eastAsia="黑体" w:hAnsi="黑体" w:cs="黑体"/>
        </w:rPr>
      </w:pPr>
    </w:p>
    <w:p w:rsidR="00D50B7F" w:rsidRDefault="00D520D2">
      <w:pPr>
        <w:adjustRightInd w:val="0"/>
        <w:snapToGrid w:val="0"/>
        <w:spacing w:line="600" w:lineRule="exact"/>
        <w:jc w:val="center"/>
        <w:rPr>
          <w:rFonts w:ascii="黑体" w:eastAsia="黑体" w:hAnsi="黑体" w:cs="黑体"/>
        </w:rPr>
      </w:pPr>
      <w:r>
        <w:rPr>
          <w:rFonts w:ascii="黑体" w:eastAsia="黑体" w:hAnsi="黑体" w:cs="黑体" w:hint="eastAsia"/>
        </w:rPr>
        <w:t>第三章  预算的编制与审核</w:t>
      </w:r>
    </w:p>
    <w:p w:rsidR="00D50B7F" w:rsidRDefault="00D50B7F">
      <w:pPr>
        <w:adjustRightInd w:val="0"/>
        <w:snapToGrid w:val="0"/>
        <w:spacing w:line="600" w:lineRule="exact"/>
        <w:jc w:val="center"/>
        <w:rPr>
          <w:rFonts w:ascii="黑体" w:eastAsia="黑体" w:hAnsi="黑体" w:cs="黑体"/>
        </w:rPr>
      </w:pP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第十二条</w:t>
      </w:r>
      <w:r>
        <w:rPr>
          <w:rFonts w:ascii="仿宋" w:eastAsia="仿宋" w:hAnsi="仿宋" w:cs="Times New Roman" w:hint="eastAsia"/>
        </w:rPr>
        <w:t xml:space="preserve">  项目负责人应当按照目标相关性、政策相符性和</w:t>
      </w:r>
      <w:r>
        <w:rPr>
          <w:rFonts w:ascii="仿宋" w:eastAsia="仿宋" w:hAnsi="仿宋" w:cs="Times New Roman" w:hint="eastAsia"/>
        </w:rPr>
        <w:lastRenderedPageBreak/>
        <w:t>经济合理性原则，根据项目研究需要和经费开支范围，科学合理、实事求是地编制项目预算。直接费用只提供基本测算说明，不需要提供明细。</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项目负责人应当在收到立项通知之日起30日内完成预算编制。无特殊情况，逾期不提交的，视为自动放弃资助。</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第十三条</w:t>
      </w:r>
      <w:r>
        <w:rPr>
          <w:rFonts w:ascii="仿宋" w:eastAsia="仿宋" w:hAnsi="仿宋" w:cs="Times New Roman" w:hint="eastAsia"/>
        </w:rPr>
        <w:t xml:space="preserve">  项目预算需在《福建省社会科学基金项目管理系统》中填报，并</w:t>
      </w:r>
      <w:proofErr w:type="gramStart"/>
      <w:r>
        <w:rPr>
          <w:rFonts w:ascii="仿宋" w:eastAsia="仿宋" w:hAnsi="仿宋" w:cs="Times New Roman" w:hint="eastAsia"/>
        </w:rPr>
        <w:t>经责任</w:t>
      </w:r>
      <w:proofErr w:type="gramEnd"/>
      <w:r>
        <w:rPr>
          <w:rFonts w:ascii="仿宋" w:eastAsia="仿宋" w:hAnsi="仿宋" w:cs="Times New Roman" w:hint="eastAsia"/>
        </w:rPr>
        <w:t>单位审核通过后，提交福建省哲学社会科学规划办公室（以下简称省社科规划办）审核。未通过审核的，应当按要求调整后重新上报。</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第十四条</w:t>
      </w:r>
      <w:r>
        <w:rPr>
          <w:rFonts w:ascii="仿宋" w:eastAsia="仿宋" w:hAnsi="仿宋" w:cs="Times New Roman" w:hint="eastAsia"/>
        </w:rPr>
        <w:t xml:space="preserve">  跨单位合作的项目，</w:t>
      </w:r>
      <w:proofErr w:type="gramStart"/>
      <w:r>
        <w:rPr>
          <w:rFonts w:ascii="仿宋" w:eastAsia="仿宋" w:hAnsi="仿宋" w:cs="Times New Roman" w:hint="eastAsia"/>
        </w:rPr>
        <w:t>确需外拨经费</w:t>
      </w:r>
      <w:proofErr w:type="gramEnd"/>
      <w:r>
        <w:rPr>
          <w:rFonts w:ascii="仿宋" w:eastAsia="仿宋" w:hAnsi="仿宋" w:cs="Times New Roman" w:hint="eastAsia"/>
        </w:rPr>
        <w:t>的，应当在项目预算中列示，并</w:t>
      </w:r>
      <w:proofErr w:type="gramStart"/>
      <w:r>
        <w:rPr>
          <w:rFonts w:ascii="仿宋" w:eastAsia="仿宋" w:hAnsi="仿宋" w:cs="Times New Roman" w:hint="eastAsia"/>
        </w:rPr>
        <w:t>写明外拨经费</w:t>
      </w:r>
      <w:proofErr w:type="gramEnd"/>
      <w:r>
        <w:rPr>
          <w:rFonts w:ascii="仿宋" w:eastAsia="仿宋" w:hAnsi="仿宋" w:cs="Times New Roman" w:hint="eastAsia"/>
        </w:rPr>
        <w:t>直接费用支出预算。间接</w:t>
      </w:r>
      <w:proofErr w:type="gramStart"/>
      <w:r>
        <w:rPr>
          <w:rFonts w:ascii="仿宋" w:eastAsia="仿宋" w:hAnsi="仿宋" w:cs="Times New Roman" w:hint="eastAsia"/>
        </w:rPr>
        <w:t>费用外拨金额</w:t>
      </w:r>
      <w:proofErr w:type="gramEnd"/>
      <w:r>
        <w:rPr>
          <w:rFonts w:ascii="仿宋" w:eastAsia="仿宋" w:hAnsi="仿宋" w:cs="Times New Roman" w:hint="eastAsia"/>
        </w:rPr>
        <w:t>，由责任单位和合作研究单位协商确定。</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责任单位应当及时按照合作研究协议和审核通过的项目预算转拨合作研究单位经费。</w:t>
      </w:r>
    </w:p>
    <w:p w:rsidR="00D50B7F" w:rsidRDefault="00D50B7F">
      <w:pPr>
        <w:adjustRightInd w:val="0"/>
        <w:snapToGrid w:val="0"/>
        <w:spacing w:line="600" w:lineRule="exact"/>
        <w:jc w:val="center"/>
        <w:rPr>
          <w:rFonts w:ascii="黑体" w:eastAsia="黑体" w:hAnsi="黑体" w:cs="黑体"/>
        </w:rPr>
      </w:pPr>
    </w:p>
    <w:p w:rsidR="00D50B7F" w:rsidRDefault="00D520D2">
      <w:pPr>
        <w:adjustRightInd w:val="0"/>
        <w:snapToGrid w:val="0"/>
        <w:spacing w:line="600" w:lineRule="exact"/>
        <w:jc w:val="center"/>
        <w:rPr>
          <w:rFonts w:ascii="黑体" w:eastAsia="黑体" w:hAnsi="黑体" w:cs="黑体"/>
        </w:rPr>
      </w:pPr>
      <w:r>
        <w:rPr>
          <w:rFonts w:ascii="黑体" w:eastAsia="黑体" w:hAnsi="黑体" w:cs="黑体" w:hint="eastAsia"/>
        </w:rPr>
        <w:t>第四章  预算执行与决算</w:t>
      </w:r>
    </w:p>
    <w:p w:rsidR="00D50B7F" w:rsidRDefault="00D50B7F">
      <w:pPr>
        <w:adjustRightInd w:val="0"/>
        <w:snapToGrid w:val="0"/>
        <w:spacing w:line="600" w:lineRule="exact"/>
        <w:jc w:val="center"/>
        <w:rPr>
          <w:rFonts w:ascii="黑体" w:eastAsia="黑体" w:hAnsi="黑体" w:cs="黑体"/>
        </w:rPr>
      </w:pP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第十五条</w:t>
      </w:r>
      <w:r>
        <w:rPr>
          <w:rFonts w:ascii="仿宋" w:eastAsia="仿宋" w:hAnsi="仿宋" w:cs="Times New Roman" w:hint="eastAsia"/>
        </w:rPr>
        <w:t xml:space="preserve">  项目负责人应当严格执行批准后的项目预算。项目预算有以下情况确需调剂的，由项目负责人提出申请，经项目责任单位审核同意后，报省社科规划办审批：</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（一）由于研究内容或者研究计划</w:t>
      </w:r>
      <w:proofErr w:type="gramStart"/>
      <w:r>
        <w:rPr>
          <w:rFonts w:ascii="仿宋" w:eastAsia="仿宋" w:hAnsi="仿宋" w:cs="Times New Roman" w:hint="eastAsia"/>
        </w:rPr>
        <w:t>作出</w:t>
      </w:r>
      <w:proofErr w:type="gramEnd"/>
      <w:r>
        <w:rPr>
          <w:rFonts w:ascii="仿宋" w:eastAsia="仿宋" w:hAnsi="仿宋" w:cs="Times New Roman" w:hint="eastAsia"/>
        </w:rPr>
        <w:t>重大调整等原因，需</w:t>
      </w:r>
      <w:r>
        <w:rPr>
          <w:rFonts w:ascii="仿宋" w:eastAsia="仿宋" w:hAnsi="仿宋" w:cs="Times New Roman" w:hint="eastAsia"/>
        </w:rPr>
        <w:lastRenderedPageBreak/>
        <w:t>要增加或减少项目预算总额的；</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（二）原项目预算</w:t>
      </w:r>
      <w:proofErr w:type="gramStart"/>
      <w:r>
        <w:rPr>
          <w:rFonts w:ascii="仿宋" w:eastAsia="仿宋" w:hAnsi="仿宋" w:cs="Times New Roman" w:hint="eastAsia"/>
        </w:rPr>
        <w:t>未列示外拨经费</w:t>
      </w:r>
      <w:proofErr w:type="gramEnd"/>
      <w:r>
        <w:rPr>
          <w:rFonts w:ascii="仿宋" w:eastAsia="仿宋" w:hAnsi="仿宋" w:cs="Times New Roman" w:hint="eastAsia"/>
        </w:rPr>
        <w:t>，需要增列的。</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有以下情况需调剂的，由项目责任单位审批或备案：</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（一）设备费预算、</w:t>
      </w:r>
      <w:proofErr w:type="gramStart"/>
      <w:r>
        <w:rPr>
          <w:rFonts w:ascii="仿宋" w:eastAsia="仿宋" w:hAnsi="仿宋" w:cs="Times New Roman" w:hint="eastAsia"/>
        </w:rPr>
        <w:t>外拨经费</w:t>
      </w:r>
      <w:proofErr w:type="gramEnd"/>
      <w:r>
        <w:rPr>
          <w:rFonts w:ascii="仿宋" w:eastAsia="仿宋" w:hAnsi="仿宋" w:cs="Times New Roman" w:hint="eastAsia"/>
        </w:rPr>
        <w:t>如需调剂的，由项目负责人根据科研活动的实际需要提出申请，</w:t>
      </w:r>
      <w:proofErr w:type="gramStart"/>
      <w:r>
        <w:rPr>
          <w:rFonts w:ascii="仿宋" w:eastAsia="仿宋" w:hAnsi="仿宋" w:cs="Times New Roman" w:hint="eastAsia"/>
        </w:rPr>
        <w:t>报项目</w:t>
      </w:r>
      <w:proofErr w:type="gramEnd"/>
      <w:r>
        <w:rPr>
          <w:rFonts w:ascii="仿宋" w:eastAsia="仿宋" w:hAnsi="仿宋" w:cs="Times New Roman" w:hint="eastAsia"/>
        </w:rPr>
        <w:t>责任单位审批。</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（二）业务费、劳务费预算如需调剂的，由项目负责人根据科研活动实际需要自主安排，并</w:t>
      </w:r>
      <w:proofErr w:type="gramStart"/>
      <w:r>
        <w:rPr>
          <w:rFonts w:ascii="仿宋" w:eastAsia="仿宋" w:hAnsi="仿宋" w:cs="Times New Roman" w:hint="eastAsia"/>
        </w:rPr>
        <w:t>报项目</w:t>
      </w:r>
      <w:proofErr w:type="gramEnd"/>
      <w:r>
        <w:rPr>
          <w:rFonts w:ascii="仿宋" w:eastAsia="仿宋" w:hAnsi="仿宋" w:cs="Times New Roman" w:hint="eastAsia"/>
        </w:rPr>
        <w:t>责任单位备案。</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第十六条</w:t>
      </w:r>
      <w:r>
        <w:rPr>
          <w:rFonts w:ascii="仿宋" w:eastAsia="仿宋" w:hAnsi="仿宋" w:cs="Times New Roman" w:hint="eastAsia"/>
        </w:rPr>
        <w:t xml:space="preserve">  省社科项目经费的支付执行国库集中支付制度。项目经费属于政府采购范围的</w:t>
      </w:r>
      <w:r w:rsidRPr="00544EAB">
        <w:rPr>
          <w:rFonts w:ascii="仿宋" w:eastAsia="仿宋" w:hAnsi="仿宋" w:cs="Times New Roman" w:hint="eastAsia"/>
          <w:highlight w:val="yellow"/>
        </w:rPr>
        <w:t>，应当按照政府采购有关规定执行。</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第十七条</w:t>
      </w:r>
      <w:r>
        <w:rPr>
          <w:rFonts w:ascii="仿宋" w:eastAsia="仿宋" w:hAnsi="仿宋" w:cs="Times New Roman" w:hint="eastAsia"/>
        </w:rPr>
        <w:t xml:space="preserve">  责任单位应当严格执行国家及福建省有关科研经费支出管理制度。对应当实行“公务卡”结算的支出，按照福建省财政科研项目使用公务卡结算的有关规定执行。专家咨询费、劳务费等支出，原则上应当通过银行转账方式结算，从严控制现金支出事项。</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项目实施过程中，项目责任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数据采集等科研活动中无法取得发票或财政票据的支出，在确保真实性的前提下，可按实际发生额予以报销。</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lastRenderedPageBreak/>
        <w:t>第十八条</w:t>
      </w:r>
      <w:r>
        <w:rPr>
          <w:rFonts w:ascii="仿宋" w:eastAsia="仿宋" w:hAnsi="仿宋" w:cs="Times New Roman" w:hint="eastAsia"/>
        </w:rPr>
        <w:t xml:space="preserve">  项目研究完成后，项目负责人应当会同科研、财务、资产等管理部门及时清理账目与资产，如实编制《福建省社会科学基金项目结项审批书》中的项目决算表，不得随意调账变动支出、随意修改记账凭证。</w:t>
      </w:r>
    </w:p>
    <w:p w:rsidR="00D50B7F" w:rsidRDefault="00D520D2">
      <w:pPr>
        <w:adjustRightInd w:val="0"/>
        <w:snapToGrid w:val="0"/>
        <w:spacing w:line="600" w:lineRule="exact"/>
        <w:ind w:firstLineChars="200" w:firstLine="640"/>
        <w:rPr>
          <w:rFonts w:ascii="仿宋" w:eastAsia="仿宋" w:hAnsi="仿宋" w:cs="Times New Roman"/>
        </w:rPr>
      </w:pPr>
      <w:proofErr w:type="gramStart"/>
      <w:r>
        <w:rPr>
          <w:rFonts w:ascii="仿宋" w:eastAsia="仿宋" w:hAnsi="仿宋" w:cs="Times New Roman" w:hint="eastAsia"/>
        </w:rPr>
        <w:t>有外拨经费</w:t>
      </w:r>
      <w:proofErr w:type="gramEnd"/>
      <w:r>
        <w:rPr>
          <w:rFonts w:ascii="仿宋" w:eastAsia="仿宋" w:hAnsi="仿宋" w:cs="Times New Roman" w:hint="eastAsia"/>
        </w:rPr>
        <w:t>的项目，</w:t>
      </w:r>
      <w:proofErr w:type="gramStart"/>
      <w:r>
        <w:rPr>
          <w:rFonts w:ascii="仿宋" w:eastAsia="仿宋" w:hAnsi="仿宋" w:cs="Times New Roman" w:hint="eastAsia"/>
        </w:rPr>
        <w:t>外拨经费</w:t>
      </w:r>
      <w:proofErr w:type="gramEnd"/>
      <w:r>
        <w:rPr>
          <w:rFonts w:ascii="仿宋" w:eastAsia="仿宋" w:hAnsi="仿宋" w:cs="Times New Roman" w:hint="eastAsia"/>
        </w:rPr>
        <w:t>决算经合作研究单位财务、审计部门审核并签署意见后，由项目负责人汇总编制项目经费决算。</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第十九条</w:t>
      </w:r>
      <w:r>
        <w:rPr>
          <w:rFonts w:ascii="仿宋" w:eastAsia="仿宋" w:hAnsi="仿宋" w:cs="Times New Roman" w:hint="eastAsia"/>
        </w:rPr>
        <w:t xml:space="preserve">  项目研究成果鉴定的费用由省社科规划办</w:t>
      </w:r>
      <w:bookmarkStart w:id="14" w:name="_GoBack"/>
      <w:bookmarkEnd w:id="14"/>
      <w:r>
        <w:rPr>
          <w:rFonts w:ascii="仿宋" w:eastAsia="仿宋" w:hAnsi="仿宋" w:cs="Times New Roman" w:hint="eastAsia"/>
        </w:rPr>
        <w:t>支付。</w:t>
      </w:r>
    </w:p>
    <w:p w:rsidR="00D50B7F" w:rsidRDefault="00D520D2" w:rsidP="002D3B80">
      <w:pPr>
        <w:adjustRightInd w:val="0"/>
        <w:snapToGrid w:val="0"/>
        <w:spacing w:line="600" w:lineRule="exact"/>
        <w:ind w:firstLineChars="200" w:firstLine="643"/>
        <w:rPr>
          <w:rFonts w:ascii="仿宋" w:eastAsia="仿宋" w:hAnsi="仿宋" w:cs="Times New Roman"/>
          <w:b/>
          <w:bCs/>
        </w:rPr>
      </w:pPr>
      <w:r>
        <w:rPr>
          <w:rFonts w:ascii="仿宋" w:eastAsia="仿宋" w:hAnsi="仿宋" w:cs="Times New Roman" w:hint="eastAsia"/>
          <w:b/>
          <w:bCs/>
        </w:rPr>
        <w:t>第二十条</w:t>
      </w:r>
      <w:r>
        <w:rPr>
          <w:rFonts w:ascii="仿宋" w:eastAsia="仿宋" w:hAnsi="仿宋" w:cs="Times New Roman" w:hint="eastAsia"/>
        </w:rPr>
        <w:t xml:space="preserve">  </w:t>
      </w:r>
      <w:r w:rsidRPr="0003133F">
        <w:rPr>
          <w:rFonts w:ascii="仿宋_GB2312" w:eastAsia="仿宋_GB2312" w:cs="仿宋_GB2312"/>
          <w:spacing w:val="-2"/>
          <w:kern w:val="21"/>
          <w:highlight w:val="yellow"/>
        </w:rPr>
        <w:t>项目在</w:t>
      </w:r>
      <w:proofErr w:type="gramStart"/>
      <w:r w:rsidRPr="0003133F">
        <w:rPr>
          <w:rFonts w:ascii="仿宋_GB2312" w:eastAsia="仿宋_GB2312" w:cs="仿宋_GB2312"/>
          <w:spacing w:val="-2"/>
          <w:kern w:val="21"/>
          <w:highlight w:val="yellow"/>
        </w:rPr>
        <w:t>研</w:t>
      </w:r>
      <w:proofErr w:type="gramEnd"/>
      <w:r w:rsidRPr="0003133F">
        <w:rPr>
          <w:rFonts w:ascii="仿宋_GB2312" w:eastAsia="仿宋_GB2312" w:cs="仿宋_GB2312"/>
          <w:spacing w:val="-2"/>
          <w:kern w:val="21"/>
          <w:highlight w:val="yellow"/>
        </w:rPr>
        <w:t>期间，年度剩余</w:t>
      </w:r>
      <w:r w:rsidRPr="0003133F">
        <w:rPr>
          <w:rFonts w:ascii="仿宋_GB2312" w:eastAsia="仿宋_GB2312" w:cs="仿宋_GB2312" w:hint="eastAsia"/>
          <w:spacing w:val="-2"/>
          <w:kern w:val="21"/>
          <w:highlight w:val="yellow"/>
        </w:rPr>
        <w:t>经费</w:t>
      </w:r>
      <w:r w:rsidRPr="0003133F">
        <w:rPr>
          <w:rFonts w:ascii="仿宋_GB2312" w:eastAsia="仿宋_GB2312" w:cs="仿宋_GB2312"/>
          <w:spacing w:val="-2"/>
          <w:kern w:val="21"/>
          <w:highlight w:val="yellow"/>
        </w:rPr>
        <w:t>可以结转下一年度继续使用。项目通过审核验收后，</w:t>
      </w:r>
      <w:r w:rsidRPr="0003133F">
        <w:rPr>
          <w:rFonts w:ascii="仿宋" w:eastAsia="仿宋" w:hAnsi="仿宋" w:cs="Times New Roman" w:hint="eastAsia"/>
          <w:highlight w:val="yellow"/>
        </w:rPr>
        <w:t>项目责任单位在提取间接费用后，直接费用的结余部分可按照本单位实际制定适合本单位的报销方式，各单位应根据本单位实际制定实施细则。</w:t>
      </w:r>
    </w:p>
    <w:p w:rsidR="00D50B7F" w:rsidRDefault="00D520D2">
      <w:pPr>
        <w:numPr>
          <w:ilvl w:val="255"/>
          <w:numId w:val="0"/>
        </w:num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（一）直接费用的结余经费可实行“包干使用”，在项目通过验收后，由项目负责人提供本人签字的经费使用清单及说明，经项目所在单位财务部门审核，报单位领导审批后报销。</w:t>
      </w:r>
    </w:p>
    <w:p w:rsidR="00D50B7F" w:rsidRDefault="00D520D2">
      <w:pPr>
        <w:numPr>
          <w:ilvl w:val="255"/>
          <w:numId w:val="0"/>
        </w:num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 xml:space="preserve">（二）直接费用的结余经费可以由项目责任单位统筹安排用于项目最终成果出版及后续研究的直接支出，优先考虑原项目团队科研需求。项目责任单位应当加强结余经费管理，健全结余经费盘活机制，加快经费使用进度。 </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第二十一条</w:t>
      </w:r>
      <w:r>
        <w:rPr>
          <w:rFonts w:cs="仿宋_GB2312" w:hint="eastAsia"/>
          <w:b/>
          <w:bCs/>
          <w:spacing w:val="-2"/>
          <w:kern w:val="21"/>
        </w:rPr>
        <w:t xml:space="preserve">  </w:t>
      </w:r>
      <w:r>
        <w:rPr>
          <w:rFonts w:ascii="仿宋" w:eastAsia="仿宋" w:hAnsi="仿宋" w:cs="Times New Roman" w:hint="eastAsia"/>
        </w:rPr>
        <w:t>对于因故被终止或撤销的项目，省社科规划办应视情节轻重分别</w:t>
      </w:r>
      <w:proofErr w:type="gramStart"/>
      <w:r>
        <w:rPr>
          <w:rFonts w:ascii="仿宋" w:eastAsia="仿宋" w:hAnsi="仿宋" w:cs="Times New Roman" w:hint="eastAsia"/>
        </w:rPr>
        <w:t>作出</w:t>
      </w:r>
      <w:proofErr w:type="gramEnd"/>
      <w:r>
        <w:rPr>
          <w:rFonts w:ascii="仿宋" w:eastAsia="仿宋" w:hAnsi="仿宋" w:cs="Times New Roman" w:hint="eastAsia"/>
        </w:rPr>
        <w:t>退回结余经费、退回结余经费和绩效支出、退回已拨经费处理。项目责任单位应当在接到有关通知后30日</w:t>
      </w:r>
      <w:r>
        <w:rPr>
          <w:rFonts w:ascii="仿宋" w:eastAsia="仿宋" w:hAnsi="仿宋" w:cs="Times New Roman" w:hint="eastAsia"/>
        </w:rPr>
        <w:lastRenderedPageBreak/>
        <w:t>内按原渠道</w:t>
      </w:r>
      <w:proofErr w:type="gramStart"/>
      <w:r>
        <w:rPr>
          <w:rFonts w:ascii="仿宋" w:eastAsia="仿宋" w:hAnsi="仿宋" w:cs="Times New Roman" w:hint="eastAsia"/>
        </w:rPr>
        <w:t>退回省</w:t>
      </w:r>
      <w:proofErr w:type="gramEnd"/>
      <w:r>
        <w:rPr>
          <w:rFonts w:ascii="仿宋" w:eastAsia="仿宋" w:hAnsi="仿宋" w:cs="Times New Roman" w:hint="eastAsia"/>
        </w:rPr>
        <w:t>社科联。所退经费由省社科规划办按照财政预算管理的有关规定，统筹用于资助项目研究。</w:t>
      </w:r>
    </w:p>
    <w:p w:rsidR="00D50B7F" w:rsidRDefault="00D520D2">
      <w:pPr>
        <w:pStyle w:val="2"/>
        <w:spacing w:after="0" w:line="600" w:lineRule="exact"/>
        <w:ind w:leftChars="0" w:left="0" w:firstLineChars="0" w:firstLine="0"/>
        <w:rPr>
          <w:rFonts w:ascii="仿宋" w:eastAsia="仿宋" w:hAnsi="仿宋" w:cs="Times New Roman"/>
        </w:rPr>
      </w:pPr>
      <w:r>
        <w:rPr>
          <w:rFonts w:ascii="仿宋" w:eastAsia="仿宋" w:hAnsi="仿宋" w:cs="Times New Roman" w:hint="eastAsia"/>
        </w:rPr>
        <w:t xml:space="preserve">    项目责任单位发生变更的项目，原项目责任单位应当及时向新项目责任单位转拨需转拨的项目经费。</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 xml:space="preserve">第二十二条 </w:t>
      </w:r>
      <w:r>
        <w:rPr>
          <w:rFonts w:ascii="仿宋" w:eastAsia="仿宋" w:hAnsi="仿宋" w:cs="Times New Roman" w:hint="eastAsia"/>
        </w:rPr>
        <w:t xml:space="preserve"> 项目实施过程中，使用项目经费形成的固定资产、无形资产等属于国有资产，应当按照国有资产管理的有关规定执行。</w:t>
      </w:r>
    </w:p>
    <w:p w:rsidR="00D50B7F" w:rsidRDefault="00D50B7F">
      <w:pPr>
        <w:numPr>
          <w:ilvl w:val="255"/>
          <w:numId w:val="0"/>
        </w:numPr>
        <w:adjustRightInd w:val="0"/>
        <w:snapToGrid w:val="0"/>
        <w:spacing w:line="600" w:lineRule="exact"/>
        <w:jc w:val="center"/>
        <w:rPr>
          <w:rFonts w:ascii="黑体" w:eastAsia="黑体" w:hAnsi="黑体" w:cs="黑体"/>
        </w:rPr>
      </w:pPr>
    </w:p>
    <w:p w:rsidR="00D50B7F" w:rsidRDefault="00D520D2">
      <w:pPr>
        <w:numPr>
          <w:ilvl w:val="255"/>
          <w:numId w:val="0"/>
        </w:numPr>
        <w:adjustRightInd w:val="0"/>
        <w:snapToGrid w:val="0"/>
        <w:spacing w:line="600" w:lineRule="exact"/>
        <w:jc w:val="center"/>
        <w:rPr>
          <w:rFonts w:ascii="黑体" w:eastAsia="黑体" w:hAnsi="黑体" w:cs="黑体"/>
        </w:rPr>
      </w:pPr>
      <w:r>
        <w:rPr>
          <w:rFonts w:ascii="黑体" w:eastAsia="黑体" w:hAnsi="黑体" w:cs="黑体" w:hint="eastAsia"/>
        </w:rPr>
        <w:t>第五章  管理与监督</w:t>
      </w:r>
    </w:p>
    <w:p w:rsidR="00D50B7F" w:rsidRDefault="00D50B7F">
      <w:pPr>
        <w:numPr>
          <w:ilvl w:val="255"/>
          <w:numId w:val="0"/>
        </w:numPr>
        <w:adjustRightInd w:val="0"/>
        <w:snapToGrid w:val="0"/>
        <w:spacing w:line="600" w:lineRule="exact"/>
        <w:jc w:val="center"/>
        <w:rPr>
          <w:rFonts w:ascii="黑体" w:eastAsia="黑体" w:hAnsi="黑体" w:cs="黑体"/>
        </w:rPr>
      </w:pPr>
    </w:p>
    <w:p w:rsidR="00D50B7F" w:rsidRDefault="00D520D2">
      <w:pPr>
        <w:pStyle w:val="2"/>
        <w:spacing w:after="0" w:line="600" w:lineRule="exact"/>
        <w:ind w:leftChars="0" w:left="0" w:firstLineChars="0" w:firstLine="600"/>
        <w:rPr>
          <w:rFonts w:ascii="仿宋" w:eastAsia="仿宋" w:hAnsi="仿宋" w:cs="Times New Roman"/>
        </w:rPr>
      </w:pPr>
      <w:r>
        <w:rPr>
          <w:rFonts w:ascii="仿宋" w:eastAsia="仿宋" w:hAnsi="仿宋" w:cs="Times New Roman" w:hint="eastAsia"/>
          <w:b/>
          <w:bCs/>
        </w:rPr>
        <w:t>第二十三条</w:t>
      </w:r>
      <w:r>
        <w:rPr>
          <w:rFonts w:hint="eastAsia"/>
        </w:rPr>
        <w:t xml:space="preserve"> </w:t>
      </w:r>
      <w:r>
        <w:rPr>
          <w:rFonts w:ascii="仿宋" w:eastAsia="仿宋" w:hAnsi="仿宋" w:cs="Times New Roman" w:hint="eastAsia"/>
        </w:rPr>
        <w:t>省社科规划办应履行以下管理职责：</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（一）加强立项项目经费预算和</w:t>
      </w:r>
      <w:proofErr w:type="gramStart"/>
      <w:r>
        <w:rPr>
          <w:rFonts w:ascii="仿宋" w:eastAsia="仿宋" w:hAnsi="仿宋" w:cs="Times New Roman" w:hint="eastAsia"/>
        </w:rPr>
        <w:t>结项项目</w:t>
      </w:r>
      <w:proofErr w:type="gramEnd"/>
      <w:r>
        <w:rPr>
          <w:rFonts w:ascii="仿宋" w:eastAsia="仿宋" w:hAnsi="仿宋" w:cs="Times New Roman" w:hint="eastAsia"/>
        </w:rPr>
        <w:t>经费决算的管理。</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（二）加强项目经费使用的绩效管理，对项目资金管理使用效益进行绩效评价，强化绩效评价结果应用。</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（三）对在</w:t>
      </w:r>
      <w:proofErr w:type="gramStart"/>
      <w:r>
        <w:rPr>
          <w:rFonts w:ascii="仿宋" w:eastAsia="仿宋" w:hAnsi="仿宋" w:cs="Times New Roman" w:hint="eastAsia"/>
        </w:rPr>
        <w:t>研</w:t>
      </w:r>
      <w:proofErr w:type="gramEnd"/>
      <w:r>
        <w:rPr>
          <w:rFonts w:ascii="仿宋" w:eastAsia="仿宋" w:hAnsi="仿宋" w:cs="Times New Roman" w:hint="eastAsia"/>
        </w:rPr>
        <w:t>项目的经费使用情况进行中期检查。</w:t>
      </w:r>
    </w:p>
    <w:p w:rsidR="00D50B7F" w:rsidRDefault="00D520D2" w:rsidP="002D3B80">
      <w:pPr>
        <w:pStyle w:val="2"/>
        <w:spacing w:after="0" w:line="600" w:lineRule="exact"/>
        <w:ind w:leftChars="0" w:left="0" w:firstLine="643"/>
        <w:rPr>
          <w:rFonts w:ascii="仿宋" w:eastAsia="仿宋" w:hAnsi="仿宋" w:cs="Times New Roman"/>
        </w:rPr>
      </w:pPr>
      <w:r>
        <w:rPr>
          <w:rFonts w:ascii="仿宋" w:eastAsia="仿宋" w:hAnsi="仿宋" w:cs="Times New Roman" w:hint="eastAsia"/>
          <w:b/>
          <w:bCs/>
        </w:rPr>
        <w:t xml:space="preserve">第二十四条 </w:t>
      </w:r>
      <w:r>
        <w:rPr>
          <w:rFonts w:ascii="仿宋" w:eastAsia="仿宋" w:hAnsi="仿宋" w:cs="Times New Roman" w:hint="eastAsia"/>
        </w:rPr>
        <w:t>项目承担单位应履行以下职责：</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（一）制定项目经费内部管理办法，明确审批程序、管理要求和报销规定，落实项目预算调剂、间接费用统筹使用、劳务费分配管理、结余经费使用等管理权限。</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（二）加强项目预算审核把关，规范财务支出行为，完善内部风险防控机制，加强绩效管理，强化经费使用绩效监控和评价，</w:t>
      </w:r>
      <w:r>
        <w:rPr>
          <w:rFonts w:ascii="仿宋" w:eastAsia="仿宋" w:hAnsi="仿宋" w:cs="Times New Roman" w:hint="eastAsia"/>
        </w:rPr>
        <w:lastRenderedPageBreak/>
        <w:t>保障经费使用安全规范有效。</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（三）建立健全单位内部科研、财务、项目负责人共享的信息平台，提高科研管理效率和便利化程度。</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（四）建立健全科研财务助理制度，为科研人员在项目预算编制和调剂、经费支出、项目经费决算和验收等方面提供专业化服务。</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（五）建立项目经费使用管理的信息公开机制，在单位内部公开项目预算、预算调剂、决算、项目组人员构成、设备购置、</w:t>
      </w:r>
      <w:proofErr w:type="gramStart"/>
      <w:r>
        <w:rPr>
          <w:rFonts w:ascii="仿宋" w:eastAsia="仿宋" w:hAnsi="仿宋" w:cs="Times New Roman" w:hint="eastAsia"/>
        </w:rPr>
        <w:t>外拨经费</w:t>
      </w:r>
      <w:proofErr w:type="gramEnd"/>
      <w:r>
        <w:rPr>
          <w:rFonts w:ascii="仿宋" w:eastAsia="仿宋" w:hAnsi="仿宋" w:cs="Times New Roman" w:hint="eastAsia"/>
        </w:rPr>
        <w:t>、劳务费发放以及间接费用和结余经费使用等情况，自觉接受监督。</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（六）自觉接受财政、审计、监察部门和主管部门的监督检查，如实反映情况，提供有关资料。</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（七）项目责任单位应当建立项目经费管理承诺机制，承诺依法履行项目经费管理的职责。</w:t>
      </w:r>
    </w:p>
    <w:p w:rsidR="00D50B7F" w:rsidRDefault="00D520D2" w:rsidP="002D3B80">
      <w:pPr>
        <w:pStyle w:val="2"/>
        <w:spacing w:after="0" w:line="600" w:lineRule="exact"/>
        <w:ind w:leftChars="0" w:left="0" w:firstLine="643"/>
        <w:rPr>
          <w:rFonts w:ascii="仿宋" w:eastAsia="仿宋" w:hAnsi="仿宋" w:cs="Times New Roman"/>
        </w:rPr>
      </w:pPr>
      <w:r>
        <w:rPr>
          <w:rFonts w:ascii="仿宋" w:eastAsia="仿宋" w:hAnsi="仿宋" w:cs="Times New Roman" w:hint="eastAsia"/>
          <w:b/>
          <w:bCs/>
        </w:rPr>
        <w:t>第二十五条</w:t>
      </w:r>
      <w:r>
        <w:t xml:space="preserve"> </w:t>
      </w:r>
      <w:r>
        <w:rPr>
          <w:rFonts w:ascii="仿宋" w:eastAsia="仿宋" w:hAnsi="仿宋" w:cs="Times New Roman" w:hint="eastAsia"/>
        </w:rPr>
        <w:t>项目责任人应履行以下职责：</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（一）依法依规使用项目经费。</w:t>
      </w:r>
    </w:p>
    <w:p w:rsidR="00D50B7F" w:rsidRDefault="00D520D2">
      <w:pPr>
        <w:pStyle w:val="2"/>
        <w:spacing w:after="0" w:line="600" w:lineRule="exact"/>
        <w:ind w:leftChars="0" w:left="0" w:firstLine="640"/>
        <w:rPr>
          <w:rFonts w:ascii="仿宋" w:eastAsia="仿宋" w:hAnsi="仿宋" w:cs="Times New Roman"/>
        </w:rPr>
      </w:pPr>
      <w:r>
        <w:rPr>
          <w:rFonts w:ascii="仿宋" w:eastAsia="仿宋" w:hAnsi="仿宋" w:cs="Times New Roman" w:hint="eastAsia"/>
        </w:rPr>
        <w:t>（二）承诺提供真实项目信息并认真遵守项目经费管理有关规定，自觉接受有关部门的监督检查。</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第二十六条</w:t>
      </w:r>
      <w:r>
        <w:rPr>
          <w:rFonts w:ascii="仿宋" w:eastAsia="仿宋" w:hAnsi="仿宋" w:cs="Times New Roman" w:hint="eastAsia"/>
        </w:rPr>
        <w:t xml:space="preserve">  </w:t>
      </w:r>
      <w:r>
        <w:rPr>
          <w:rFonts w:ascii="仿宋" w:eastAsia="仿宋" w:hAnsi="仿宋" w:cs="Times New Roman" w:hint="eastAsia"/>
          <w:lang w:val="en"/>
        </w:rPr>
        <w:t>项目</w:t>
      </w:r>
      <w:r>
        <w:rPr>
          <w:rFonts w:ascii="仿宋" w:eastAsia="仿宋" w:hAnsi="仿宋" w:cs="Times New Roman" w:hint="eastAsia"/>
        </w:rPr>
        <w:t>责任单位和项目负责人应当依法依规管理使用项目经费，不得存在以下行为：</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（一）虚假编报项目预算；</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lastRenderedPageBreak/>
        <w:t>（二）未对项目经费进行单独核算；</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（三）列支与项目任务无关的支出；</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（四）未按规定执行和调剂预算、违反规定转拨项目经费；</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（五）通过虚假合同、虚假票据、虚构事项、虚报人员等弄虚作假，转移、套取、报销项目经费；</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（六）截留、挤占、挪用项目经费；</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（七）设置账外账、随意调账变动支出、随意修改记账凭证、提供虚假财务会计资料等；</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（八）在使用项目经费中以任何方式列支应由个人负担的有关费用和支付各种罚款、捐款、赞助、投资、偿还债务等；</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（九）其他违反国家财经纪律的行为。</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对项目责任单位和科研人员在项目经费管理使用过程中出现的失信情况，应当纳入信用记录管理，对严重失信行为实行追责和惩戒。</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 xml:space="preserve">第二十七条 </w:t>
      </w:r>
      <w:r>
        <w:rPr>
          <w:rFonts w:cs="仿宋_GB2312" w:hint="eastAsia"/>
          <w:spacing w:val="-2"/>
          <w:kern w:val="21"/>
        </w:rPr>
        <w:t xml:space="preserve"> </w:t>
      </w:r>
      <w:r>
        <w:rPr>
          <w:rFonts w:ascii="仿宋" w:eastAsia="仿宋" w:hAnsi="仿宋" w:cs="Times New Roman" w:hint="eastAsia"/>
        </w:rPr>
        <w:t>省财政厅按规定对省社科项目经费管理和使用情况进行监督管理，并根据工作需要开展绩效评价。</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 xml:space="preserve">第二十八条 </w:t>
      </w:r>
      <w:r>
        <w:rPr>
          <w:rFonts w:cs="仿宋_GB2312" w:hint="eastAsia"/>
          <w:spacing w:val="-2"/>
          <w:kern w:val="21"/>
        </w:rPr>
        <w:t xml:space="preserve"> </w:t>
      </w:r>
      <w:r>
        <w:rPr>
          <w:rFonts w:ascii="仿宋" w:eastAsia="仿宋" w:hAnsi="仿宋" w:cs="Times New Roman" w:hint="eastAsia"/>
        </w:rPr>
        <w:t>省社科规划办按规定对项目责任单位项目经费管理和使用情况进行监督检查。项目责任单位和项目负责人应当积极配合并提供有关资料。</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 xml:space="preserve">第二十九条 </w:t>
      </w:r>
      <w:r>
        <w:rPr>
          <w:rFonts w:ascii="仿宋" w:eastAsia="仿宋" w:hAnsi="仿宋" w:cs="Times New Roman" w:hint="eastAsia"/>
        </w:rPr>
        <w:t xml:space="preserve"> 省财政厅、省社科规划办及其相关工作人员在项目经费分配使用、审核管理等相关工作中，存在违反规定安排</w:t>
      </w:r>
      <w:r>
        <w:rPr>
          <w:rFonts w:ascii="仿宋" w:eastAsia="仿宋" w:hAnsi="仿宋" w:cs="Times New Roman" w:hint="eastAsia"/>
        </w:rPr>
        <w:lastRenderedPageBreak/>
        <w:t>经费或其他滥用职权、玩忽职守、徇私舞弊等违法违规行为的，依法责令改正，对负有责任的领导人员和直接责任人员依法给予处分；涉嫌犯罪的，依法移送有关机关处理。</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rPr>
        <w:t>项目责任单位及其相关工作人员、项目负责人及其团队成员在经费管理使用过程中，不按规定管理使用项目经费、不按时编报项目决算、不按规定进行会计核算，存在截留、挪用、侵占项目经费等违法违规行为的，按照《中华人民共和国预算法》及其实施条例、《中华人民共和国会计法》、《财政违法行为处罚处分条例》等国家有关规定追究相应责任。涉嫌犯罪的，依法移送有关机关处理。</w:t>
      </w:r>
    </w:p>
    <w:p w:rsidR="00D50B7F" w:rsidRDefault="00D50B7F">
      <w:pPr>
        <w:adjustRightInd w:val="0"/>
        <w:snapToGrid w:val="0"/>
        <w:spacing w:line="600" w:lineRule="exact"/>
        <w:ind w:firstLine="642"/>
        <w:rPr>
          <w:rFonts w:ascii="仿宋" w:eastAsia="仿宋" w:hAnsi="仿宋" w:cs="Times New Roman"/>
        </w:rPr>
      </w:pPr>
    </w:p>
    <w:p w:rsidR="00D50B7F" w:rsidRDefault="00D520D2">
      <w:pPr>
        <w:adjustRightInd w:val="0"/>
        <w:snapToGrid w:val="0"/>
        <w:spacing w:line="600" w:lineRule="exact"/>
        <w:jc w:val="center"/>
        <w:rPr>
          <w:rFonts w:ascii="黑体" w:eastAsia="黑体" w:hAnsi="黑体" w:cs="黑体"/>
        </w:rPr>
      </w:pPr>
      <w:r>
        <w:rPr>
          <w:rFonts w:ascii="黑体" w:eastAsia="黑体" w:hAnsi="黑体" w:cs="黑体" w:hint="eastAsia"/>
        </w:rPr>
        <w:t>第六章  附 则</w:t>
      </w:r>
    </w:p>
    <w:p w:rsidR="00D50B7F" w:rsidRDefault="00D50B7F">
      <w:pPr>
        <w:adjustRightInd w:val="0"/>
        <w:snapToGrid w:val="0"/>
        <w:spacing w:line="600" w:lineRule="exact"/>
        <w:jc w:val="center"/>
        <w:rPr>
          <w:rFonts w:ascii="黑体" w:eastAsia="黑体" w:hAnsi="黑体" w:cs="黑体"/>
        </w:rPr>
      </w:pP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 xml:space="preserve">第三十条  </w:t>
      </w:r>
      <w:r>
        <w:rPr>
          <w:rFonts w:ascii="仿宋" w:eastAsia="仿宋" w:hAnsi="仿宋" w:cs="Times New Roman" w:hint="eastAsia"/>
        </w:rPr>
        <w:t>本办法适用于省社科基金各类项目经费，省社科基金其他资助项目经费，未制定有关办法的，适用本办法。</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第三十一条</w:t>
      </w:r>
      <w:r>
        <w:rPr>
          <w:rFonts w:ascii="仿宋" w:eastAsia="仿宋" w:hAnsi="仿宋" w:cs="Times New Roman" w:hint="eastAsia"/>
        </w:rPr>
        <w:t xml:space="preserve">  本办法由福建省财政厅会同福建省哲学社会科学规划领导小组负责解释。</w:t>
      </w:r>
    </w:p>
    <w:p w:rsidR="00D50B7F" w:rsidRDefault="00D520D2" w:rsidP="002D3B80">
      <w:pPr>
        <w:adjustRightInd w:val="0"/>
        <w:snapToGrid w:val="0"/>
        <w:spacing w:line="600" w:lineRule="exact"/>
        <w:ind w:firstLineChars="200" w:firstLine="643"/>
        <w:rPr>
          <w:rFonts w:ascii="仿宋" w:eastAsia="仿宋" w:hAnsi="仿宋" w:cs="Times New Roman"/>
        </w:rPr>
      </w:pPr>
      <w:r>
        <w:rPr>
          <w:rFonts w:ascii="仿宋" w:eastAsia="仿宋" w:hAnsi="仿宋" w:cs="Times New Roman" w:hint="eastAsia"/>
          <w:b/>
          <w:bCs/>
        </w:rPr>
        <w:t>第三十二条</w:t>
      </w:r>
      <w:r>
        <w:rPr>
          <w:rFonts w:ascii="仿宋" w:eastAsia="仿宋" w:hAnsi="仿宋" w:cs="Times New Roman" w:hint="eastAsia"/>
        </w:rPr>
        <w:t xml:space="preserve">  本办法自印发之日起施行，有效期三年。2017年5月23日省财政厅、省哲学社会科学规划领导小组印发的《福建省社会科学研究项目经费管理办法》（</w:t>
      </w:r>
      <w:proofErr w:type="gramStart"/>
      <w:r>
        <w:rPr>
          <w:rFonts w:ascii="仿宋" w:eastAsia="仿宋" w:hAnsi="仿宋" w:cs="Times New Roman" w:hint="eastAsia"/>
        </w:rPr>
        <w:t>闽财教</w:t>
      </w:r>
      <w:proofErr w:type="gramEnd"/>
      <w:r>
        <w:rPr>
          <w:rFonts w:ascii="仿宋" w:eastAsia="仿宋" w:hAnsi="仿宋" w:cs="Times New Roman" w:hint="eastAsia"/>
        </w:rPr>
        <w:t>〔2017〕32号）同时废止。</w:t>
      </w:r>
    </w:p>
    <w:p w:rsidR="00D50B7F" w:rsidRDefault="00D520D2">
      <w:pPr>
        <w:adjustRightInd w:val="0"/>
        <w:snapToGrid w:val="0"/>
        <w:spacing w:line="600" w:lineRule="exact"/>
        <w:ind w:firstLineChars="200" w:firstLine="640"/>
        <w:rPr>
          <w:rFonts w:ascii="仿宋" w:eastAsia="仿宋" w:hAnsi="仿宋" w:cs="Times New Roman"/>
        </w:rPr>
      </w:pPr>
      <w:r>
        <w:rPr>
          <w:rFonts w:ascii="仿宋" w:eastAsia="仿宋" w:hAnsi="仿宋" w:cs="Times New Roman" w:hint="eastAsia"/>
          <w:noProof/>
        </w:rPr>
        <w:lastRenderedPageBreak/>
        <w:drawing>
          <wp:anchor distT="0" distB="0" distL="114300" distR="114300" simplePos="0" relativeHeight="251657216" behindDoc="0" locked="0" layoutInCell="1" allowOverlap="1">
            <wp:simplePos x="0" y="0"/>
            <wp:positionH relativeFrom="page">
              <wp:posOffset>4598670</wp:posOffset>
            </wp:positionH>
            <wp:positionV relativeFrom="page">
              <wp:posOffset>9622790</wp:posOffset>
            </wp:positionV>
            <wp:extent cx="1778000" cy="711200"/>
            <wp:effectExtent l="0" t="0" r="12700" b="12700"/>
            <wp:wrapNone/>
            <wp:docPr id="2" name="barcode" descr="9011001210005328"/>
            <wp:cNvGraphicFramePr/>
            <a:graphic xmlns:a="http://schemas.openxmlformats.org/drawingml/2006/main">
              <a:graphicData uri="http://schemas.openxmlformats.org/drawingml/2006/picture">
                <pic:pic xmlns:pic="http://schemas.openxmlformats.org/drawingml/2006/picture">
                  <pic:nvPicPr>
                    <pic:cNvPr id="2" name="barcode" descr="9011001210005328"/>
                    <pic:cNvPicPr/>
                  </pic:nvPicPr>
                  <pic:blipFill>
                    <a:blip r:embed="rId8"/>
                    <a:stretch>
                      <a:fillRect/>
                    </a:stretch>
                  </pic:blipFill>
                  <pic:spPr>
                    <a:xfrm>
                      <a:off x="0" y="0"/>
                      <a:ext cx="1778000" cy="711200"/>
                    </a:xfrm>
                    <a:prstGeom prst="rect">
                      <a:avLst/>
                    </a:prstGeom>
                  </pic:spPr>
                </pic:pic>
              </a:graphicData>
            </a:graphic>
          </wp:anchor>
        </w:drawing>
      </w:r>
    </w:p>
    <w:p w:rsidR="00D50B7F" w:rsidRDefault="00D50B7F" w:rsidP="002D3B80">
      <w:pPr>
        <w:pStyle w:val="2"/>
        <w:spacing w:line="600" w:lineRule="exact"/>
        <w:ind w:left="640" w:firstLine="640"/>
        <w:rPr>
          <w:rFonts w:ascii="仿宋" w:eastAsia="仿宋" w:hAnsi="仿宋"/>
        </w:rPr>
      </w:pPr>
    </w:p>
    <w:p w:rsidR="00D50B7F" w:rsidRDefault="00D50B7F" w:rsidP="002D3B80">
      <w:pPr>
        <w:pStyle w:val="2"/>
        <w:spacing w:line="600" w:lineRule="exact"/>
        <w:ind w:left="640" w:firstLine="640"/>
        <w:rPr>
          <w:rFonts w:ascii="仿宋" w:eastAsia="仿宋" w:hAnsi="仿宋"/>
        </w:rPr>
      </w:pPr>
    </w:p>
    <w:p w:rsidR="00D50B7F" w:rsidRDefault="00D50B7F" w:rsidP="002D3B80">
      <w:pPr>
        <w:pStyle w:val="2"/>
        <w:spacing w:line="600" w:lineRule="exact"/>
        <w:ind w:left="640" w:firstLine="640"/>
        <w:rPr>
          <w:rFonts w:ascii="仿宋" w:eastAsia="仿宋" w:hAnsi="仿宋"/>
        </w:rPr>
      </w:pPr>
    </w:p>
    <w:p w:rsidR="00D50B7F" w:rsidRDefault="00D50B7F" w:rsidP="002D3B80">
      <w:pPr>
        <w:pStyle w:val="2"/>
        <w:spacing w:line="600" w:lineRule="exact"/>
        <w:ind w:left="640" w:firstLine="640"/>
        <w:rPr>
          <w:rFonts w:ascii="仿宋" w:eastAsia="仿宋" w:hAnsi="仿宋"/>
        </w:rPr>
      </w:pPr>
    </w:p>
    <w:p w:rsidR="00D50B7F" w:rsidRDefault="00D50B7F" w:rsidP="002D3B80">
      <w:pPr>
        <w:pStyle w:val="2"/>
        <w:spacing w:line="600" w:lineRule="exact"/>
        <w:ind w:left="640" w:firstLine="640"/>
        <w:rPr>
          <w:rFonts w:ascii="仿宋" w:eastAsia="仿宋" w:hAnsi="仿宋"/>
        </w:rPr>
      </w:pPr>
    </w:p>
    <w:p w:rsidR="00D50B7F" w:rsidRDefault="00D50B7F" w:rsidP="002D3B80">
      <w:pPr>
        <w:pStyle w:val="2"/>
        <w:spacing w:line="600" w:lineRule="exact"/>
        <w:ind w:left="640" w:firstLine="640"/>
        <w:rPr>
          <w:rFonts w:ascii="仿宋" w:eastAsia="仿宋" w:hAnsi="仿宋"/>
        </w:rPr>
      </w:pPr>
    </w:p>
    <w:p w:rsidR="00D50B7F" w:rsidRDefault="00D50B7F" w:rsidP="002D3B80">
      <w:pPr>
        <w:pStyle w:val="2"/>
        <w:spacing w:line="600" w:lineRule="exact"/>
        <w:ind w:left="640" w:firstLine="640"/>
        <w:rPr>
          <w:rFonts w:ascii="仿宋" w:eastAsia="仿宋" w:hAnsi="仿宋"/>
        </w:rPr>
      </w:pPr>
    </w:p>
    <w:p w:rsidR="00D50B7F" w:rsidRDefault="00D50B7F" w:rsidP="002D3B80">
      <w:pPr>
        <w:pStyle w:val="2"/>
        <w:spacing w:line="600" w:lineRule="exact"/>
        <w:ind w:left="640" w:firstLine="640"/>
        <w:rPr>
          <w:rFonts w:ascii="仿宋" w:eastAsia="仿宋" w:hAnsi="仿宋"/>
        </w:rPr>
      </w:pPr>
    </w:p>
    <w:tbl>
      <w:tblPr>
        <w:tblpPr w:leftFromText="180" w:rightFromText="180" w:vertAnchor="page" w:horzAnchor="page" w:tblpX="1596" w:tblpY="13372"/>
        <w:tblOverlap w:val="never"/>
        <w:tblW w:w="5000" w:type="pct"/>
        <w:tblCellMar>
          <w:left w:w="28" w:type="dxa"/>
          <w:right w:w="28" w:type="dxa"/>
        </w:tblCellMar>
        <w:tblLook w:val="04A0" w:firstRow="1" w:lastRow="0" w:firstColumn="1" w:lastColumn="0" w:noHBand="0" w:noVBand="1"/>
      </w:tblPr>
      <w:tblGrid>
        <w:gridCol w:w="4449"/>
        <w:gridCol w:w="4452"/>
      </w:tblGrid>
      <w:tr w:rsidR="00D50B7F">
        <w:trPr>
          <w:trHeight w:val="567"/>
        </w:trPr>
        <w:tc>
          <w:tcPr>
            <w:tcW w:w="5000" w:type="pct"/>
            <w:gridSpan w:val="2"/>
            <w:tcBorders>
              <w:top w:val="nil"/>
              <w:left w:val="nil"/>
              <w:bottom w:val="single" w:sz="12" w:space="0" w:color="auto"/>
              <w:right w:val="nil"/>
            </w:tcBorders>
            <w:vAlign w:val="bottom"/>
          </w:tcPr>
          <w:p w:rsidR="00D50B7F" w:rsidRDefault="00D520D2">
            <w:pPr>
              <w:spacing w:after="100" w:afterAutospacing="1" w:line="600" w:lineRule="exact"/>
              <w:ind w:rightChars="65" w:right="208" w:firstLineChars="100" w:firstLine="280"/>
              <w:textAlignment w:val="bottom"/>
              <w:rPr>
                <w:rFonts w:ascii="仿宋" w:eastAsia="仿宋" w:hAnsi="仿宋" w:cs="仿宋_GB2312"/>
                <w:color w:val="000000"/>
                <w:sz w:val="28"/>
                <w:szCs w:val="28"/>
              </w:rPr>
            </w:pPr>
            <w:r>
              <w:rPr>
                <w:rFonts w:ascii="仿宋" w:eastAsia="仿宋" w:hAnsi="仿宋" w:cs="仿宋_GB2312" w:hint="eastAsia"/>
                <w:color w:val="000000"/>
                <w:sz w:val="28"/>
                <w:szCs w:val="28"/>
              </w:rPr>
              <w:t>信息公开类型：</w:t>
            </w:r>
            <w:bookmarkStart w:id="15" w:name="PO_fgklx"/>
            <w:r>
              <w:rPr>
                <w:rFonts w:ascii="仿宋" w:eastAsia="仿宋" w:hAnsi="仿宋" w:cs="仿宋_GB2312" w:hint="eastAsia"/>
                <w:color w:val="000000"/>
                <w:sz w:val="28"/>
                <w:szCs w:val="28"/>
              </w:rPr>
              <w:t>主动公开</w:t>
            </w:r>
            <w:bookmarkEnd w:id="15"/>
          </w:p>
        </w:tc>
      </w:tr>
      <w:tr w:rsidR="00D50B7F">
        <w:trPr>
          <w:trHeight w:val="567"/>
        </w:trPr>
        <w:tc>
          <w:tcPr>
            <w:tcW w:w="2499" w:type="pct"/>
            <w:tcBorders>
              <w:top w:val="nil"/>
              <w:left w:val="nil"/>
              <w:bottom w:val="single" w:sz="12" w:space="0" w:color="auto"/>
              <w:right w:val="nil"/>
            </w:tcBorders>
            <w:vAlign w:val="bottom"/>
          </w:tcPr>
          <w:p w:rsidR="00D50B7F" w:rsidRDefault="00D520D2">
            <w:pPr>
              <w:spacing w:after="100" w:line="600" w:lineRule="exact"/>
              <w:ind w:rightChars="65" w:right="208" w:firstLineChars="100" w:firstLine="280"/>
              <w:rPr>
                <w:rFonts w:ascii="仿宋" w:eastAsia="仿宋" w:hAnsi="仿宋"/>
                <w:color w:val="000000"/>
                <w:sz w:val="28"/>
              </w:rPr>
            </w:pPr>
            <w:r>
              <w:rPr>
                <w:rFonts w:ascii="仿宋" w:eastAsia="仿宋" w:hAnsi="仿宋" w:cs="仿宋_GB2312" w:hint="eastAsia"/>
                <w:color w:val="000000"/>
                <w:sz w:val="28"/>
              </w:rPr>
              <w:t>福建省财政厅办公室</w:t>
            </w:r>
          </w:p>
        </w:tc>
        <w:tc>
          <w:tcPr>
            <w:tcW w:w="2500" w:type="pct"/>
            <w:tcBorders>
              <w:top w:val="nil"/>
              <w:left w:val="nil"/>
              <w:bottom w:val="single" w:sz="12" w:space="0" w:color="auto"/>
              <w:right w:val="nil"/>
            </w:tcBorders>
            <w:vAlign w:val="center"/>
          </w:tcPr>
          <w:p w:rsidR="00D50B7F" w:rsidRDefault="00D520D2">
            <w:pPr>
              <w:wordWrap w:val="0"/>
              <w:spacing w:after="100" w:afterAutospacing="1" w:line="600" w:lineRule="exact"/>
              <w:ind w:rightChars="65" w:right="208" w:firstLineChars="300" w:firstLine="840"/>
              <w:jc w:val="right"/>
              <w:textAlignment w:val="bottom"/>
              <w:rPr>
                <w:rFonts w:ascii="仿宋_GB2312" w:eastAsia="仿宋_GB2312"/>
                <w:color w:val="000000"/>
              </w:rPr>
            </w:pPr>
            <w:bookmarkStart w:id="16" w:name="PO_fyfrq"/>
            <w:r>
              <w:rPr>
                <w:rFonts w:ascii="仿宋" w:eastAsia="仿宋" w:hAnsi="仿宋" w:cs="仿宋_GB2312" w:hint="eastAsia"/>
                <w:color w:val="000000"/>
                <w:sz w:val="28"/>
              </w:rPr>
              <w:t>2021年12月17日</w:t>
            </w:r>
            <w:bookmarkEnd w:id="16"/>
            <w:r>
              <w:rPr>
                <w:rFonts w:ascii="仿宋" w:eastAsia="仿宋" w:hAnsi="仿宋" w:cs="仿宋_GB2312" w:hint="eastAsia"/>
                <w:color w:val="000000"/>
                <w:sz w:val="28"/>
              </w:rPr>
              <w:t>印发</w:t>
            </w:r>
            <w:r>
              <w:rPr>
                <w:rFonts w:ascii="仿宋_GB2312" w:eastAsia="仿宋_GB2312" w:cs="仿宋_GB2312" w:hint="eastAsia"/>
                <w:color w:val="000000"/>
              </w:rPr>
              <w:t xml:space="preserve">  </w:t>
            </w:r>
          </w:p>
        </w:tc>
      </w:tr>
    </w:tbl>
    <w:p w:rsidR="00D50B7F" w:rsidRDefault="00D50B7F" w:rsidP="002D3B80">
      <w:pPr>
        <w:pStyle w:val="2"/>
        <w:spacing w:line="600" w:lineRule="exact"/>
        <w:ind w:left="640" w:firstLine="640"/>
        <w:rPr>
          <w:rFonts w:ascii="仿宋" w:eastAsia="仿宋" w:hAnsi="仿宋"/>
        </w:rPr>
      </w:pPr>
    </w:p>
    <w:sectPr w:rsidR="00D50B7F">
      <w:headerReference w:type="even" r:id="rId9"/>
      <w:headerReference w:type="default" r:id="rId10"/>
      <w:footerReference w:type="even" r:id="rId11"/>
      <w:footerReference w:type="default" r:id="rId12"/>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F6" w:rsidRDefault="00F944F6">
      <w:r>
        <w:separator/>
      </w:r>
    </w:p>
  </w:endnote>
  <w:endnote w:type="continuationSeparator" w:id="0">
    <w:p w:rsidR="00F944F6" w:rsidRDefault="00F9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B7F" w:rsidRDefault="00D520D2">
    <w:pPr>
      <w:pStyle w:val="a4"/>
      <w:ind w:right="360" w:firstLineChars="100" w:firstLine="280"/>
      <w:rPr>
        <w:rFonts w:ascii="宋体" w:hAnsi="宋体"/>
        <w:sz w:val="28"/>
        <w:szCs w:val="28"/>
      </w:rPr>
    </w:pPr>
    <w:r>
      <w:rPr>
        <w:rStyle w:val="a7"/>
        <w:rFonts w:ascii="宋体" w:hAnsi="宋体"/>
        <w:sz w:val="28"/>
        <w:szCs w:val="28"/>
      </w:rPr>
      <w:fldChar w:fldCharType="begin"/>
    </w:r>
    <w:r>
      <w:rPr>
        <w:rStyle w:val="a7"/>
        <w:rFonts w:ascii="宋体" w:hAnsi="宋体"/>
        <w:sz w:val="28"/>
        <w:szCs w:val="28"/>
      </w:rPr>
      <w:instrText xml:space="preserve"> PAGE </w:instrText>
    </w:r>
    <w:r>
      <w:rPr>
        <w:rStyle w:val="a7"/>
        <w:rFonts w:ascii="宋体" w:hAnsi="宋体"/>
        <w:sz w:val="28"/>
        <w:szCs w:val="28"/>
      </w:rPr>
      <w:fldChar w:fldCharType="separate"/>
    </w:r>
    <w:r>
      <w:rPr>
        <w:rStyle w:val="a7"/>
        <w:rFonts w:ascii="宋体" w:hAnsi="宋体"/>
        <w:sz w:val="28"/>
        <w:szCs w:val="28"/>
      </w:rPr>
      <w:t>- 2 -</w:t>
    </w:r>
    <w:r>
      <w:rPr>
        <w:rStyle w:val="a7"/>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B7F" w:rsidRDefault="00D520D2">
    <w:pPr>
      <w:pStyle w:val="a4"/>
      <w:wordWrap w:val="0"/>
      <w:ind w:right="360"/>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0B7F" w:rsidRDefault="00D520D2">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3133F">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50B7F" w:rsidRDefault="00D520D2">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3133F">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F6" w:rsidRDefault="00F944F6">
      <w:r>
        <w:separator/>
      </w:r>
    </w:p>
  </w:footnote>
  <w:footnote w:type="continuationSeparator" w:id="0">
    <w:p w:rsidR="00F944F6" w:rsidRDefault="00F9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B7F" w:rsidRDefault="00D520D2">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B7F" w:rsidRDefault="00D520D2">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7F"/>
    <w:rsid w:val="8E3D0D14"/>
    <w:rsid w:val="BF77F222"/>
    <w:rsid w:val="DEBFB81C"/>
    <w:rsid w:val="DF3B0F44"/>
    <w:rsid w:val="EF4BED2C"/>
    <w:rsid w:val="F2399AC4"/>
    <w:rsid w:val="F77FA2B6"/>
    <w:rsid w:val="FDFE8642"/>
    <w:rsid w:val="FF7406BB"/>
    <w:rsid w:val="FFC93952"/>
    <w:rsid w:val="000253FA"/>
    <w:rsid w:val="0003133F"/>
    <w:rsid w:val="00072E52"/>
    <w:rsid w:val="000B3399"/>
    <w:rsid w:val="000E291E"/>
    <w:rsid w:val="000E6968"/>
    <w:rsid w:val="00116C7A"/>
    <w:rsid w:val="00145C75"/>
    <w:rsid w:val="00145D52"/>
    <w:rsid w:val="001538F6"/>
    <w:rsid w:val="001745DC"/>
    <w:rsid w:val="001851DD"/>
    <w:rsid w:val="001865AB"/>
    <w:rsid w:val="00195B6A"/>
    <w:rsid w:val="001B667D"/>
    <w:rsid w:val="002269D4"/>
    <w:rsid w:val="00231764"/>
    <w:rsid w:val="00245BD9"/>
    <w:rsid w:val="00253BD6"/>
    <w:rsid w:val="00283713"/>
    <w:rsid w:val="002C0472"/>
    <w:rsid w:val="002D060D"/>
    <w:rsid w:val="002D3B80"/>
    <w:rsid w:val="00317448"/>
    <w:rsid w:val="003407EA"/>
    <w:rsid w:val="00354EA9"/>
    <w:rsid w:val="003828FA"/>
    <w:rsid w:val="00396E4C"/>
    <w:rsid w:val="003A09E7"/>
    <w:rsid w:val="00410875"/>
    <w:rsid w:val="00430145"/>
    <w:rsid w:val="00461224"/>
    <w:rsid w:val="00472F9E"/>
    <w:rsid w:val="00475982"/>
    <w:rsid w:val="0048765D"/>
    <w:rsid w:val="004B2FE4"/>
    <w:rsid w:val="004D3B32"/>
    <w:rsid w:val="004E4405"/>
    <w:rsid w:val="00544EAB"/>
    <w:rsid w:val="005911D6"/>
    <w:rsid w:val="005978EB"/>
    <w:rsid w:val="005D42F2"/>
    <w:rsid w:val="005D5EA3"/>
    <w:rsid w:val="005E7243"/>
    <w:rsid w:val="005E7BDD"/>
    <w:rsid w:val="006614BA"/>
    <w:rsid w:val="0066178F"/>
    <w:rsid w:val="00691574"/>
    <w:rsid w:val="00692022"/>
    <w:rsid w:val="006940EC"/>
    <w:rsid w:val="006A3DF8"/>
    <w:rsid w:val="006C73D7"/>
    <w:rsid w:val="00712027"/>
    <w:rsid w:val="00726EF9"/>
    <w:rsid w:val="00750D7C"/>
    <w:rsid w:val="0079728D"/>
    <w:rsid w:val="007C193A"/>
    <w:rsid w:val="007C569E"/>
    <w:rsid w:val="007E5E0D"/>
    <w:rsid w:val="007F3A72"/>
    <w:rsid w:val="00804A05"/>
    <w:rsid w:val="0087156E"/>
    <w:rsid w:val="0088476D"/>
    <w:rsid w:val="008A0FF1"/>
    <w:rsid w:val="008B6098"/>
    <w:rsid w:val="008E2231"/>
    <w:rsid w:val="00982794"/>
    <w:rsid w:val="009C7120"/>
    <w:rsid w:val="009E611E"/>
    <w:rsid w:val="009E7ED0"/>
    <w:rsid w:val="009F6E0B"/>
    <w:rsid w:val="00A239A5"/>
    <w:rsid w:val="00A26E0B"/>
    <w:rsid w:val="00A32370"/>
    <w:rsid w:val="00A75DE6"/>
    <w:rsid w:val="00A8598A"/>
    <w:rsid w:val="00A9035B"/>
    <w:rsid w:val="00AB00BB"/>
    <w:rsid w:val="00B31BED"/>
    <w:rsid w:val="00B34692"/>
    <w:rsid w:val="00B47EE3"/>
    <w:rsid w:val="00BC54D6"/>
    <w:rsid w:val="00BD6C8F"/>
    <w:rsid w:val="00BE0177"/>
    <w:rsid w:val="00BF17B9"/>
    <w:rsid w:val="00C37F2A"/>
    <w:rsid w:val="00C52395"/>
    <w:rsid w:val="00C60497"/>
    <w:rsid w:val="00C7277C"/>
    <w:rsid w:val="00C8215B"/>
    <w:rsid w:val="00C909AD"/>
    <w:rsid w:val="00C95624"/>
    <w:rsid w:val="00CB6A69"/>
    <w:rsid w:val="00CC1487"/>
    <w:rsid w:val="00D50B7F"/>
    <w:rsid w:val="00D520D2"/>
    <w:rsid w:val="00D841E3"/>
    <w:rsid w:val="00DA3F99"/>
    <w:rsid w:val="00DC0D99"/>
    <w:rsid w:val="00DE1F26"/>
    <w:rsid w:val="00DE3ED6"/>
    <w:rsid w:val="00DF3572"/>
    <w:rsid w:val="00E068D4"/>
    <w:rsid w:val="00E06983"/>
    <w:rsid w:val="00E32094"/>
    <w:rsid w:val="00E503FB"/>
    <w:rsid w:val="00EE16A5"/>
    <w:rsid w:val="00F05077"/>
    <w:rsid w:val="00F4723B"/>
    <w:rsid w:val="00F51B20"/>
    <w:rsid w:val="00F944F6"/>
    <w:rsid w:val="00F954E9"/>
    <w:rsid w:val="00FC58D3"/>
    <w:rsid w:val="03352888"/>
    <w:rsid w:val="0F0B6913"/>
    <w:rsid w:val="216915F0"/>
    <w:rsid w:val="32507A8A"/>
    <w:rsid w:val="3C732D21"/>
    <w:rsid w:val="4103650A"/>
    <w:rsid w:val="4AB32DE6"/>
    <w:rsid w:val="4BD227FC"/>
    <w:rsid w:val="570E6174"/>
    <w:rsid w:val="5A815D32"/>
    <w:rsid w:val="5DF5346E"/>
    <w:rsid w:val="6BDFD83A"/>
    <w:rsid w:val="76FFAB4D"/>
    <w:rsid w:val="7EEBC2B1"/>
    <w:rsid w:val="7EFF6425"/>
    <w:rsid w:val="7F37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cs="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Calibri" w:hAnsi="Calibri"/>
    </w:rPr>
  </w:style>
  <w:style w:type="paragraph" w:styleId="a3">
    <w:name w:val="Body Text Indent"/>
    <w:basedOn w:val="a"/>
    <w:uiPriority w:val="99"/>
    <w:unhideWhenUsed/>
    <w:qFormat/>
    <w:pPr>
      <w:spacing w:after="120"/>
      <w:ind w:leftChars="200" w:left="420"/>
    </w:pPr>
  </w:style>
  <w:style w:type="paragraph" w:styleId="a4">
    <w:name w:val="footer"/>
    <w:basedOn w:val="a"/>
    <w:qFormat/>
    <w:pPr>
      <w:tabs>
        <w:tab w:val="center" w:pos="4153"/>
        <w:tab w:val="right" w:pos="8306"/>
      </w:tabs>
      <w:snapToGrid w:val="0"/>
      <w:jc w:val="left"/>
    </w:pPr>
    <w:rPr>
      <w:rFonts w:ascii="Times New Roman" w:eastAsia="仿宋" w:hAnsi="Times New Roman" w:cs="Times New Roman"/>
      <w:color w:val="000000"/>
      <w:sz w:val="18"/>
      <w:szCs w:val="18"/>
    </w:rPr>
  </w:style>
  <w:style w:type="paragraph" w:styleId="a5">
    <w:name w:val="header"/>
    <w:basedOn w:val="a"/>
    <w:qFormat/>
    <w:pPr>
      <w:pBdr>
        <w:bottom w:val="single" w:sz="6" w:space="1" w:color="auto"/>
      </w:pBdr>
      <w:tabs>
        <w:tab w:val="center" w:pos="4153"/>
        <w:tab w:val="right" w:pos="8306"/>
      </w:tabs>
      <w:snapToGrid w:val="0"/>
      <w:jc w:val="center"/>
    </w:pPr>
    <w:rPr>
      <w:rFonts w:ascii="Times New Roman" w:eastAsia="仿宋" w:hAnsi="Times New Roman" w:cs="Times New Roman"/>
      <w:color w:val="000000"/>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Pr>
      <w:rFonts w:ascii="Times New Roman" w:eastAsia="宋体" w:hAnsi="Times New Roman" w:cs="Times New Roman"/>
    </w:rPr>
  </w:style>
  <w:style w:type="paragraph" w:customStyle="1" w:styleId="GB2312">
    <w:name w:val="正文 + 仿宋_GB2312"/>
    <w:basedOn w:val="a"/>
    <w:qFormat/>
    <w:pPr>
      <w:framePr w:hSpace="180" w:wrap="around" w:vAnchor="text" w:hAnchor="text" w:y="1"/>
      <w:spacing w:before="120" w:line="318" w:lineRule="atLeast"/>
      <w:jc w:val="center"/>
      <w:textAlignment w:val="bottom"/>
    </w:pPr>
    <w:rPr>
      <w:rFonts w:ascii="Times New Roman" w:eastAsia="仿宋_GB2312" w:hAnsi="Times New Roman" w:cs="Times New Roman"/>
    </w:rPr>
  </w:style>
  <w:style w:type="paragraph" w:styleId="a8">
    <w:name w:val="Balloon Text"/>
    <w:basedOn w:val="a"/>
    <w:link w:val="Char"/>
    <w:rsid w:val="002D3B80"/>
    <w:rPr>
      <w:sz w:val="18"/>
      <w:szCs w:val="18"/>
    </w:rPr>
  </w:style>
  <w:style w:type="character" w:customStyle="1" w:styleId="Char">
    <w:name w:val="批注框文本 Char"/>
    <w:basedOn w:val="a0"/>
    <w:link w:val="a8"/>
    <w:rsid w:val="002D3B80"/>
    <w:rPr>
      <w:rFonts w:cs="仿宋"/>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cs="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Calibri" w:hAnsi="Calibri"/>
    </w:rPr>
  </w:style>
  <w:style w:type="paragraph" w:styleId="a3">
    <w:name w:val="Body Text Indent"/>
    <w:basedOn w:val="a"/>
    <w:uiPriority w:val="99"/>
    <w:unhideWhenUsed/>
    <w:qFormat/>
    <w:pPr>
      <w:spacing w:after="120"/>
      <w:ind w:leftChars="200" w:left="420"/>
    </w:pPr>
  </w:style>
  <w:style w:type="paragraph" w:styleId="a4">
    <w:name w:val="footer"/>
    <w:basedOn w:val="a"/>
    <w:qFormat/>
    <w:pPr>
      <w:tabs>
        <w:tab w:val="center" w:pos="4153"/>
        <w:tab w:val="right" w:pos="8306"/>
      </w:tabs>
      <w:snapToGrid w:val="0"/>
      <w:jc w:val="left"/>
    </w:pPr>
    <w:rPr>
      <w:rFonts w:ascii="Times New Roman" w:eastAsia="仿宋" w:hAnsi="Times New Roman" w:cs="Times New Roman"/>
      <w:color w:val="000000"/>
      <w:sz w:val="18"/>
      <w:szCs w:val="18"/>
    </w:rPr>
  </w:style>
  <w:style w:type="paragraph" w:styleId="a5">
    <w:name w:val="header"/>
    <w:basedOn w:val="a"/>
    <w:qFormat/>
    <w:pPr>
      <w:pBdr>
        <w:bottom w:val="single" w:sz="6" w:space="1" w:color="auto"/>
      </w:pBdr>
      <w:tabs>
        <w:tab w:val="center" w:pos="4153"/>
        <w:tab w:val="right" w:pos="8306"/>
      </w:tabs>
      <w:snapToGrid w:val="0"/>
      <w:jc w:val="center"/>
    </w:pPr>
    <w:rPr>
      <w:rFonts w:ascii="Times New Roman" w:eastAsia="仿宋" w:hAnsi="Times New Roman" w:cs="Times New Roman"/>
      <w:color w:val="000000"/>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Pr>
      <w:rFonts w:ascii="Times New Roman" w:eastAsia="宋体" w:hAnsi="Times New Roman" w:cs="Times New Roman"/>
    </w:rPr>
  </w:style>
  <w:style w:type="paragraph" w:customStyle="1" w:styleId="GB2312">
    <w:name w:val="正文 + 仿宋_GB2312"/>
    <w:basedOn w:val="a"/>
    <w:qFormat/>
    <w:pPr>
      <w:framePr w:hSpace="180" w:wrap="around" w:vAnchor="text" w:hAnchor="text" w:y="1"/>
      <w:spacing w:before="120" w:line="318" w:lineRule="atLeast"/>
      <w:jc w:val="center"/>
      <w:textAlignment w:val="bottom"/>
    </w:pPr>
    <w:rPr>
      <w:rFonts w:ascii="Times New Roman" w:eastAsia="仿宋_GB2312" w:hAnsi="Times New Roman" w:cs="Times New Roman"/>
    </w:rPr>
  </w:style>
  <w:style w:type="paragraph" w:styleId="a8">
    <w:name w:val="Balloon Text"/>
    <w:basedOn w:val="a"/>
    <w:link w:val="Char"/>
    <w:rsid w:val="002D3B80"/>
    <w:rPr>
      <w:sz w:val="18"/>
      <w:szCs w:val="18"/>
    </w:rPr>
  </w:style>
  <w:style w:type="character" w:customStyle="1" w:styleId="Char">
    <w:name w:val="批注框文本 Char"/>
    <w:basedOn w:val="a0"/>
    <w:link w:val="a8"/>
    <w:rsid w:val="002D3B80"/>
    <w:rPr>
      <w:rFonts w:cs="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14</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 z</dc:creator>
  <cp:lastModifiedBy>潘策</cp:lastModifiedBy>
  <cp:revision>11</cp:revision>
  <dcterms:created xsi:type="dcterms:W3CDTF">2019-12-25T04:26:00Z</dcterms:created>
  <dcterms:modified xsi:type="dcterms:W3CDTF">2022-12-09T02:08:00Z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